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Arial" w:hAnsi="Arial" w:cs="Arial"/>
          <w:sz w:val="24"/>
          <w:szCs w:val="24"/>
        </w:rPr>
      </w:pPr>
    </w:p>
    <w:p>
      <w:pPr>
        <w:jc w:val="both"/>
        <w:rPr>
          <w:rFonts w:hint="default" w:ascii="Arial" w:hAnsi="Arial" w:cs="Arial"/>
          <w:sz w:val="24"/>
          <w:szCs w:val="24"/>
          <w:lang w:val="en-US"/>
        </w:rPr>
      </w:pPr>
      <w:r>
        <w:rPr>
          <w:rFonts w:hint="default" w:ascii="Arial" w:hAnsi="Arial" w:cs="Arial"/>
          <w:sz w:val="24"/>
          <w:szCs w:val="24"/>
          <w:lang w:val="en-US"/>
        </w:rPr>
        <w:t>Uji Iradiasi</w:t>
      </w:r>
    </w:p>
    <w:p>
      <w:pPr>
        <w:jc w:val="both"/>
        <w:rPr>
          <w:rFonts w:hint="default" w:ascii="Arial" w:hAnsi="Arial" w:cs="Arial"/>
          <w:sz w:val="24"/>
          <w:szCs w:val="24"/>
        </w:rPr>
      </w:pPr>
    </w:p>
    <w:p>
      <w:pPr>
        <w:jc w:val="both"/>
        <w:rPr>
          <w:rFonts w:hint="default" w:ascii="Arial" w:hAnsi="Arial" w:cs="Arial"/>
          <w:sz w:val="24"/>
          <w:szCs w:val="24"/>
          <w:lang w:val="en-US"/>
        </w:rPr>
      </w:pPr>
      <w:r>
        <w:rPr>
          <w:rFonts w:hint="default" w:ascii="Arial" w:hAnsi="Arial" w:cs="Arial"/>
          <w:sz w:val="24"/>
          <w:szCs w:val="24"/>
          <w:lang w:val="en-US"/>
        </w:rPr>
        <w:t>Perlakuan iradiasi dilakukan pada dosis 0, 20, 30, 40 dan 50 kGy dengan 4 (empat) kali pengulangan dan penyimpanan Asam Keumamah selama 30 hari untuk menguji kualitas Asam Keumamah hasil Iradiasi. Perlakuan iradiasi dilakukan di IRADIATOR GAMMA MERAH PUTIH Kawasan Puspitek, Serpong Tangerang Selatan Provinsi Banten.</w:t>
      </w:r>
    </w:p>
    <w:p>
      <w:pPr>
        <w:jc w:val="both"/>
        <w:rPr>
          <w:rFonts w:hint="default" w:ascii="Arial" w:hAnsi="Arial" w:cs="Arial"/>
          <w:sz w:val="24"/>
          <w:szCs w:val="24"/>
          <w:lang w:val="en-US"/>
        </w:rPr>
      </w:pPr>
      <w:r>
        <w:rPr>
          <w:rFonts w:hint="default" w:ascii="Arial" w:hAnsi="Arial" w:cs="Arial"/>
          <w:sz w:val="24"/>
          <w:szCs w:val="24"/>
          <w:lang w:val="en-US"/>
        </w:rPr>
        <w:t>Setelah dilakukan proses iradiasi dan penyimpanan, didapat hasil sebagai berikut :</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Tabel 22 : Hasil Uji Total Bakteri</w:t>
      </w:r>
    </w:p>
    <w:p>
      <w:pPr>
        <w:jc w:val="both"/>
        <w:rPr>
          <w:rFonts w:hint="default" w:ascii="Arial" w:hAnsi="Arial" w:cs="Arial"/>
          <w:sz w:val="24"/>
          <w:szCs w:val="24"/>
          <w:lang w:val="en-US"/>
        </w:rPr>
      </w:pPr>
    </w:p>
    <w:tbl>
      <w:tblPr>
        <w:tblStyle w:val="3"/>
        <w:tblW w:w="831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4"/>
        <w:gridCol w:w="1300"/>
        <w:gridCol w:w="1115"/>
        <w:gridCol w:w="1700"/>
        <w:gridCol w:w="1077"/>
        <w:gridCol w:w="1223"/>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94"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No.</w:t>
            </w:r>
          </w:p>
        </w:tc>
        <w:tc>
          <w:tcPr>
            <w:tcW w:w="1300"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Jenis Contoh Uji</w:t>
            </w:r>
          </w:p>
        </w:tc>
        <w:tc>
          <w:tcPr>
            <w:tcW w:w="2815" w:type="dxa"/>
            <w:gridSpan w:val="2"/>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Hasil Uji Total Bakteri (CFU/mg) </w:t>
            </w:r>
          </w:p>
        </w:tc>
        <w:tc>
          <w:tcPr>
            <w:tcW w:w="2300" w:type="dxa"/>
            <w:gridSpan w:val="2"/>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Rata-rata</w:t>
            </w:r>
          </w:p>
        </w:tc>
        <w:tc>
          <w:tcPr>
            <w:tcW w:w="1408"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Angka log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vMerge w:val="continue"/>
            <w:tcBorders>
              <w:top w:val="single" w:color="000000" w:sz="8" w:space="0"/>
              <w:left w:val="single" w:color="000000" w:sz="8" w:space="0"/>
              <w:bottom w:val="nil"/>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300"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Arial" w:hAnsi="Arial" w:cs="Arial"/>
                <w:i w:val="0"/>
                <w:iCs w:val="0"/>
                <w:color w:val="000000"/>
                <w:sz w:val="18"/>
                <w:szCs w:val="18"/>
                <w:u w:val="none"/>
              </w:rPr>
            </w:pPr>
          </w:p>
        </w:tc>
        <w:tc>
          <w:tcPr>
            <w:tcW w:w="2815" w:type="dxa"/>
            <w:gridSpan w:val="2"/>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TBU (Total Bakteri Umum)</w:t>
            </w:r>
          </w:p>
        </w:tc>
        <w:tc>
          <w:tcPr>
            <w:tcW w:w="2300" w:type="dxa"/>
            <w:gridSpan w:val="2"/>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w:t>
            </w:r>
          </w:p>
        </w:tc>
        <w:tc>
          <w:tcPr>
            <w:tcW w:w="13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 I TPC 1</w:t>
            </w:r>
          </w:p>
        </w:tc>
        <w:tc>
          <w:tcPr>
            <w:tcW w:w="1115"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1.3X 10</w:t>
            </w:r>
            <w:r>
              <w:rPr>
                <w:rFonts w:hint="default" w:ascii="Arial" w:hAnsi="Arial" w:eastAsia="SimSun" w:cs="Arial"/>
                <w:i w:val="0"/>
                <w:iCs w:val="0"/>
                <w:color w:val="000000"/>
                <w:kern w:val="0"/>
                <w:sz w:val="18"/>
                <w:szCs w:val="18"/>
                <w:u w:val="none"/>
                <w:vertAlign w:val="superscript"/>
                <w:lang w:val="en-US" w:eastAsia="zh-CN" w:bidi="ar"/>
              </w:rPr>
              <w:t>6</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1,300,000 </w:t>
            </w:r>
          </w:p>
        </w:tc>
        <w:tc>
          <w:tcPr>
            <w:tcW w:w="107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4"/>
                <w:rFonts w:hint="default" w:ascii="Arial" w:hAnsi="Arial" w:eastAsia="SimSun" w:cs="Arial"/>
                <w:sz w:val="18"/>
                <w:szCs w:val="18"/>
                <w:lang w:val="en-US" w:eastAsia="zh-CN" w:bidi="ar"/>
              </w:rPr>
              <w:t>5.2X10</w:t>
            </w:r>
            <w:r>
              <w:rPr>
                <w:rStyle w:val="5"/>
                <w:rFonts w:hint="default" w:ascii="Arial" w:hAnsi="Arial" w:eastAsia="SimSun" w:cs="Arial"/>
                <w:sz w:val="18"/>
                <w:szCs w:val="18"/>
                <w:lang w:val="en-US" w:eastAsia="zh-CN" w:bidi="ar"/>
              </w:rPr>
              <w:t>5</w:t>
            </w:r>
          </w:p>
        </w:tc>
        <w:tc>
          <w:tcPr>
            <w:tcW w:w="122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520,000 </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5.716003344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 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1.3X10</w:t>
            </w:r>
            <w:r>
              <w:rPr>
                <w:rFonts w:hint="default" w:ascii="Arial" w:hAnsi="Arial" w:eastAsia="SimSun" w:cs="Arial"/>
                <w:i w:val="0"/>
                <w:iCs w:val="0"/>
                <w:color w:val="000000"/>
                <w:kern w:val="0"/>
                <w:sz w:val="18"/>
                <w:szCs w:val="18"/>
                <w:u w:val="none"/>
                <w:vertAlign w:val="superscript"/>
                <w:lang w:val="en-US" w:eastAsia="zh-CN" w:bidi="ar"/>
              </w:rPr>
              <w:t>5</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130,000 </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 III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3.3X10</w:t>
            </w:r>
            <w:r>
              <w:rPr>
                <w:rFonts w:hint="default" w:ascii="Arial" w:hAnsi="Arial" w:eastAsia="SimSun" w:cs="Arial"/>
                <w:i w:val="0"/>
                <w:iCs w:val="0"/>
                <w:color w:val="000000"/>
                <w:kern w:val="0"/>
                <w:sz w:val="18"/>
                <w:szCs w:val="18"/>
                <w:u w:val="none"/>
                <w:vertAlign w:val="superscript"/>
                <w:lang w:val="en-US" w:eastAsia="zh-CN" w:bidi="ar"/>
              </w:rPr>
              <w:t>5</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330,000 </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4</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 IV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3.2X10</w:t>
            </w:r>
            <w:r>
              <w:rPr>
                <w:rFonts w:hint="default" w:ascii="Arial" w:hAnsi="Arial" w:eastAsia="SimSun" w:cs="Arial"/>
                <w:i w:val="0"/>
                <w:iCs w:val="0"/>
                <w:color w:val="000000"/>
                <w:kern w:val="0"/>
                <w:sz w:val="18"/>
                <w:szCs w:val="18"/>
                <w:u w:val="none"/>
                <w:vertAlign w:val="superscript"/>
                <w:lang w:val="en-US" w:eastAsia="zh-CN" w:bidi="ar"/>
              </w:rPr>
              <w:t>5</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320,000 </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5</w:t>
            </w:r>
          </w:p>
        </w:tc>
        <w:tc>
          <w:tcPr>
            <w:tcW w:w="13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20 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2.4X10</w:t>
            </w:r>
            <w:r>
              <w:rPr>
                <w:rFonts w:hint="default" w:ascii="Arial" w:hAnsi="Arial" w:eastAsia="SimSun" w:cs="Arial"/>
                <w:i w:val="0"/>
                <w:iCs w:val="0"/>
                <w:color w:val="000000"/>
                <w:kern w:val="0"/>
                <w:sz w:val="18"/>
                <w:szCs w:val="18"/>
                <w:u w:val="none"/>
                <w:vertAlign w:val="superscript"/>
                <w:lang w:val="en-US" w:eastAsia="zh-CN" w:bidi="ar"/>
              </w:rPr>
              <w:t>3</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2,400 </w:t>
            </w:r>
          </w:p>
        </w:tc>
        <w:tc>
          <w:tcPr>
            <w:tcW w:w="107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4"/>
                <w:rFonts w:hint="default" w:ascii="Arial" w:hAnsi="Arial" w:eastAsia="SimSun" w:cs="Arial"/>
                <w:sz w:val="18"/>
                <w:szCs w:val="18"/>
                <w:lang w:val="en-US" w:eastAsia="zh-CN" w:bidi="ar"/>
              </w:rPr>
              <w:t>7.181X10</w:t>
            </w:r>
            <w:r>
              <w:rPr>
                <w:rStyle w:val="5"/>
                <w:rFonts w:hint="default" w:ascii="Arial" w:hAnsi="Arial" w:eastAsia="SimSun" w:cs="Arial"/>
                <w:sz w:val="18"/>
                <w:szCs w:val="18"/>
                <w:lang w:val="en-US" w:eastAsia="zh-CN" w:bidi="ar"/>
              </w:rPr>
              <w:t>5</w:t>
            </w:r>
            <w:r>
              <w:rPr>
                <w:rStyle w:val="4"/>
                <w:rFonts w:hint="default" w:ascii="Arial" w:hAnsi="Arial" w:eastAsia="SimSun" w:cs="Arial"/>
                <w:sz w:val="18"/>
                <w:szCs w:val="18"/>
                <w:lang w:val="en-US" w:eastAsia="zh-CN" w:bidi="ar"/>
              </w:rPr>
              <w:t xml:space="preserve"> </w:t>
            </w:r>
          </w:p>
        </w:tc>
        <w:tc>
          <w:tcPr>
            <w:tcW w:w="122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718,100 </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5.856184927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6</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20 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1.3X10</w:t>
            </w:r>
            <w:r>
              <w:rPr>
                <w:rFonts w:hint="default" w:ascii="Arial" w:hAnsi="Arial" w:eastAsia="SimSun" w:cs="Arial"/>
                <w:i w:val="0"/>
                <w:iCs w:val="0"/>
                <w:color w:val="000000"/>
                <w:kern w:val="0"/>
                <w:sz w:val="18"/>
                <w:szCs w:val="18"/>
                <w:u w:val="none"/>
                <w:vertAlign w:val="superscript"/>
                <w:lang w:val="en-US" w:eastAsia="zh-CN" w:bidi="ar"/>
              </w:rPr>
              <w:t>5</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130,000 </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7</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20 III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2.5X10</w:t>
            </w:r>
            <w:r>
              <w:rPr>
                <w:rFonts w:hint="default" w:ascii="Arial" w:hAnsi="Arial" w:eastAsia="SimSun" w:cs="Arial"/>
                <w:i w:val="0"/>
                <w:iCs w:val="0"/>
                <w:color w:val="000000"/>
                <w:kern w:val="0"/>
                <w:sz w:val="18"/>
                <w:szCs w:val="18"/>
                <w:u w:val="none"/>
                <w:vertAlign w:val="superscript"/>
                <w:lang w:val="en-US" w:eastAsia="zh-CN" w:bidi="ar"/>
              </w:rPr>
              <w:t>6</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2,500,000 </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8</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20 IV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2.4X10</w:t>
            </w:r>
            <w:r>
              <w:rPr>
                <w:rFonts w:hint="default" w:ascii="Arial" w:hAnsi="Arial" w:eastAsia="SimSun" w:cs="Arial"/>
                <w:i w:val="0"/>
                <w:iCs w:val="0"/>
                <w:color w:val="000000"/>
                <w:kern w:val="0"/>
                <w:sz w:val="18"/>
                <w:szCs w:val="18"/>
                <w:u w:val="none"/>
                <w:vertAlign w:val="superscript"/>
                <w:lang w:val="en-US" w:eastAsia="zh-CN" w:bidi="ar"/>
              </w:rPr>
              <w:t>5</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 xml:space="preserve"> 240,000 </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9</w:t>
            </w:r>
          </w:p>
        </w:tc>
        <w:tc>
          <w:tcPr>
            <w:tcW w:w="13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30 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3X10</w:t>
            </w:r>
            <w:r>
              <w:rPr>
                <w:rFonts w:hint="default" w:ascii="Arial" w:hAnsi="Arial" w:eastAsia="SimSun" w:cs="Arial"/>
                <w:i w:val="0"/>
                <w:iCs w:val="0"/>
                <w:color w:val="000000"/>
                <w:kern w:val="0"/>
                <w:sz w:val="18"/>
                <w:szCs w:val="18"/>
                <w:u w:val="none"/>
                <w:vertAlign w:val="superscript"/>
                <w:lang w:val="en-US" w:eastAsia="zh-CN" w:bidi="ar"/>
              </w:rPr>
              <w:t>1</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30</w:t>
            </w:r>
          </w:p>
        </w:tc>
        <w:tc>
          <w:tcPr>
            <w:tcW w:w="107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4"/>
                <w:rFonts w:hint="default" w:ascii="Arial" w:hAnsi="Arial" w:eastAsia="SimSun" w:cs="Arial"/>
                <w:sz w:val="18"/>
                <w:szCs w:val="18"/>
                <w:lang w:val="en-US" w:eastAsia="zh-CN" w:bidi="ar"/>
              </w:rPr>
              <w:t>1.5X10</w:t>
            </w:r>
            <w:r>
              <w:rPr>
                <w:rStyle w:val="5"/>
                <w:rFonts w:hint="default" w:ascii="Arial" w:hAnsi="Arial" w:eastAsia="SimSun" w:cs="Arial"/>
                <w:sz w:val="18"/>
                <w:szCs w:val="18"/>
                <w:lang w:val="en-US" w:eastAsia="zh-CN" w:bidi="ar"/>
              </w:rPr>
              <w:t>1</w:t>
            </w:r>
            <w:r>
              <w:rPr>
                <w:rStyle w:val="4"/>
                <w:rFonts w:hint="default" w:ascii="Arial" w:hAnsi="Arial" w:eastAsia="SimSun" w:cs="Arial"/>
                <w:sz w:val="18"/>
                <w:szCs w:val="18"/>
                <w:lang w:val="en-US" w:eastAsia="zh-CN" w:bidi="ar"/>
              </w:rPr>
              <w:t xml:space="preserve"> </w:t>
            </w:r>
          </w:p>
        </w:tc>
        <w:tc>
          <w:tcPr>
            <w:tcW w:w="122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15</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1.176091259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10</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30 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11</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30 III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12</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30 IV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3X10</w:t>
            </w:r>
            <w:r>
              <w:rPr>
                <w:rFonts w:hint="default" w:ascii="Arial" w:hAnsi="Arial" w:eastAsia="SimSun" w:cs="Arial"/>
                <w:i w:val="0"/>
                <w:iCs w:val="0"/>
                <w:color w:val="000000"/>
                <w:kern w:val="0"/>
                <w:sz w:val="18"/>
                <w:szCs w:val="18"/>
                <w:u w:val="none"/>
                <w:vertAlign w:val="superscript"/>
                <w:lang w:val="en-US" w:eastAsia="zh-CN" w:bidi="ar"/>
              </w:rPr>
              <w:t>1</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30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13</w:t>
            </w:r>
          </w:p>
        </w:tc>
        <w:tc>
          <w:tcPr>
            <w:tcW w:w="13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40 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2X10</w:t>
            </w:r>
            <w:r>
              <w:rPr>
                <w:rFonts w:hint="default" w:ascii="Arial" w:hAnsi="Arial" w:eastAsia="SimSun" w:cs="Arial"/>
                <w:i w:val="0"/>
                <w:iCs w:val="0"/>
                <w:color w:val="000000"/>
                <w:kern w:val="0"/>
                <w:sz w:val="18"/>
                <w:szCs w:val="18"/>
                <w:u w:val="none"/>
                <w:vertAlign w:val="superscript"/>
                <w:lang w:val="en-US" w:eastAsia="zh-CN" w:bidi="ar"/>
              </w:rPr>
              <w:t>1</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20</w:t>
            </w:r>
          </w:p>
        </w:tc>
        <w:tc>
          <w:tcPr>
            <w:tcW w:w="107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4"/>
                <w:rFonts w:hint="default" w:ascii="Arial" w:hAnsi="Arial" w:eastAsia="SimSun" w:cs="Arial"/>
                <w:sz w:val="18"/>
                <w:szCs w:val="18"/>
                <w:lang w:val="en-US" w:eastAsia="zh-CN" w:bidi="ar"/>
              </w:rPr>
              <w:t>1.5X10</w:t>
            </w:r>
            <w:r>
              <w:rPr>
                <w:rStyle w:val="5"/>
                <w:rFonts w:hint="default" w:ascii="Arial" w:hAnsi="Arial" w:eastAsia="SimSun" w:cs="Arial"/>
                <w:sz w:val="18"/>
                <w:szCs w:val="18"/>
                <w:lang w:val="en-US" w:eastAsia="zh-CN" w:bidi="ar"/>
              </w:rPr>
              <w:t>1</w:t>
            </w:r>
            <w:r>
              <w:rPr>
                <w:rStyle w:val="4"/>
                <w:rFonts w:hint="default" w:ascii="Arial" w:hAnsi="Arial" w:eastAsia="SimSun" w:cs="Arial"/>
                <w:sz w:val="18"/>
                <w:szCs w:val="18"/>
                <w:lang w:val="en-US" w:eastAsia="zh-CN" w:bidi="ar"/>
              </w:rPr>
              <w:t xml:space="preserve">  </w:t>
            </w:r>
          </w:p>
        </w:tc>
        <w:tc>
          <w:tcPr>
            <w:tcW w:w="122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15</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1.176091259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14</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40 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4X10</w:t>
            </w:r>
            <w:r>
              <w:rPr>
                <w:rFonts w:hint="default" w:ascii="Arial" w:hAnsi="Arial" w:eastAsia="SimSun" w:cs="Arial"/>
                <w:i w:val="0"/>
                <w:iCs w:val="0"/>
                <w:color w:val="000000"/>
                <w:kern w:val="0"/>
                <w:sz w:val="18"/>
                <w:szCs w:val="18"/>
                <w:u w:val="none"/>
                <w:vertAlign w:val="superscript"/>
                <w:lang w:val="en-US" w:eastAsia="zh-CN" w:bidi="ar"/>
              </w:rPr>
              <w:t>1</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40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15</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40 III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16</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40 IV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17</w:t>
            </w:r>
          </w:p>
        </w:tc>
        <w:tc>
          <w:tcPr>
            <w:tcW w:w="13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50 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077"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4"/>
                <w:rFonts w:hint="default" w:ascii="Arial" w:hAnsi="Arial" w:eastAsia="SimSun" w:cs="Arial"/>
                <w:sz w:val="18"/>
                <w:szCs w:val="18"/>
                <w:lang w:val="en-US" w:eastAsia="zh-CN" w:bidi="ar"/>
              </w:rPr>
              <w:t>0.25X10</w:t>
            </w:r>
            <w:r>
              <w:rPr>
                <w:rStyle w:val="5"/>
                <w:rFonts w:hint="default" w:ascii="Arial" w:hAnsi="Arial" w:eastAsia="SimSun" w:cs="Arial"/>
                <w:sz w:val="18"/>
                <w:szCs w:val="18"/>
                <w:lang w:val="en-US" w:eastAsia="zh-CN" w:bidi="ar"/>
              </w:rPr>
              <w:t>1</w:t>
            </w:r>
            <w:r>
              <w:rPr>
                <w:rStyle w:val="4"/>
                <w:rFonts w:hint="default" w:ascii="Arial" w:hAnsi="Arial" w:eastAsia="SimSun" w:cs="Arial"/>
                <w:sz w:val="18"/>
                <w:szCs w:val="18"/>
                <w:lang w:val="en-US" w:eastAsia="zh-CN" w:bidi="ar"/>
              </w:rPr>
              <w:t xml:space="preserve"> </w:t>
            </w:r>
          </w:p>
        </w:tc>
        <w:tc>
          <w:tcPr>
            <w:tcW w:w="122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2.5</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0.397940009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18</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50 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19</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50 III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20</w:t>
            </w: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50 IV TPC 1</w:t>
            </w:r>
          </w:p>
        </w:tc>
        <w:tc>
          <w:tcPr>
            <w:tcW w:w="1115"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1X10</w:t>
            </w:r>
            <w:r>
              <w:rPr>
                <w:rFonts w:hint="default" w:ascii="Arial" w:hAnsi="Arial" w:eastAsia="SimSun" w:cs="Arial"/>
                <w:i w:val="0"/>
                <w:iCs w:val="0"/>
                <w:color w:val="000000"/>
                <w:kern w:val="0"/>
                <w:sz w:val="18"/>
                <w:szCs w:val="18"/>
                <w:u w:val="none"/>
                <w:vertAlign w:val="superscript"/>
                <w:lang w:val="en-US" w:eastAsia="zh-CN" w:bidi="ar"/>
              </w:rPr>
              <w:t>1</w:t>
            </w: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10</w:t>
            </w: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c>
          <w:tcPr>
            <w:tcW w:w="140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right"/>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30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JUMLAH</w:t>
            </w:r>
          </w:p>
        </w:tc>
        <w:tc>
          <w:tcPr>
            <w:tcW w:w="1115" w:type="dxa"/>
            <w:tcBorders>
              <w:top w:val="nil"/>
              <w:left w:val="nil"/>
              <w:bottom w:val="single" w:color="000000" w:sz="8" w:space="0"/>
              <w:right w:val="single" w:color="000000" w:sz="8" w:space="0"/>
            </w:tcBorders>
            <w:shd w:val="clear" w:color="auto" w:fill="auto"/>
            <w:noWrap/>
            <w:vAlign w:val="bottom"/>
          </w:tcPr>
          <w:p>
            <w:pPr>
              <w:jc w:val="center"/>
              <w:rPr>
                <w:rFonts w:hint="default" w:ascii="Arial" w:hAnsi="Arial" w:cs="Arial"/>
                <w:i w:val="0"/>
                <w:iCs w:val="0"/>
                <w:color w:val="000000"/>
                <w:sz w:val="18"/>
                <w:szCs w:val="18"/>
                <w:u w:val="none"/>
              </w:rPr>
            </w:pPr>
          </w:p>
        </w:tc>
        <w:tc>
          <w:tcPr>
            <w:tcW w:w="1700" w:type="dxa"/>
            <w:tcBorders>
              <w:top w:val="nil"/>
              <w:left w:val="nil"/>
              <w:bottom w:val="single" w:color="000000" w:sz="8" w:space="0"/>
              <w:right w:val="nil"/>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4952530</w:t>
            </w:r>
          </w:p>
        </w:tc>
        <w:tc>
          <w:tcPr>
            <w:tcW w:w="10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1238132.5</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3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MEAN</w:t>
            </w:r>
          </w:p>
        </w:tc>
        <w:tc>
          <w:tcPr>
            <w:tcW w:w="11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7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247626.5</w:t>
            </w:r>
          </w:p>
        </w:tc>
        <w:tc>
          <w:tcPr>
            <w:tcW w:w="10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c>
          <w:tcPr>
            <w:tcW w:w="12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en-US" w:eastAsia="zh-CN" w:bidi="ar"/>
              </w:rPr>
              <w:t>247626.5</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p>
        </w:tc>
      </w:tr>
    </w:tbl>
    <w:p>
      <w:pPr>
        <w:jc w:val="both"/>
        <w:rPr>
          <w:rFonts w:hint="default" w:ascii="Arial" w:hAnsi="Arial" w:cs="Arial"/>
          <w:sz w:val="24"/>
          <w:szCs w:val="24"/>
          <w:lang w:val="en-US"/>
        </w:rPr>
      </w:pPr>
    </w:p>
    <w:p>
      <w:pPr>
        <w:jc w:val="both"/>
        <w:rPr>
          <w:rFonts w:hint="default" w:ascii="Arial" w:hAnsi="Arial" w:cs="Arial"/>
          <w:sz w:val="24"/>
          <w:szCs w:val="24"/>
        </w:rPr>
      </w:pPr>
    </w:p>
    <w:p>
      <w:pPr>
        <w:jc w:val="both"/>
        <w:rPr>
          <w:rFonts w:hint="default" w:ascii="Arial" w:hAnsi="Arial" w:cs="Arial"/>
          <w:sz w:val="24"/>
          <w:szCs w:val="24"/>
          <w:lang w:val="en-US"/>
        </w:rPr>
      </w:pPr>
      <w:r>
        <w:rPr>
          <w:rFonts w:hint="default" w:ascii="Arial" w:hAnsi="Arial" w:cs="Arial"/>
          <w:sz w:val="24"/>
          <w:szCs w:val="24"/>
          <w:lang w:val="en-US"/>
        </w:rPr>
        <w:t>Berdasarkan tabel di atas, disimpulkan bahwa semakin besar dosis iradiasi, maka total bakteri umum juga menurun. Hal tersebut sacara nyata pada dosis perlakuan 50 kGy dari 4 pengulangan total bakteri umum hanya  1 x 10</w:t>
      </w:r>
      <w:r>
        <w:rPr>
          <w:rFonts w:hint="default" w:ascii="Arial" w:hAnsi="Arial" w:cs="Arial"/>
          <w:sz w:val="24"/>
          <w:szCs w:val="24"/>
          <w:vertAlign w:val="superscript"/>
          <w:lang w:val="en-US"/>
        </w:rPr>
        <w:t>1</w:t>
      </w:r>
      <w:r>
        <w:rPr>
          <w:rFonts w:hint="default" w:ascii="Arial" w:hAnsi="Arial" w:cs="Arial"/>
          <w:sz w:val="24"/>
          <w:szCs w:val="24"/>
          <w:lang w:val="en-US"/>
        </w:rPr>
        <w:t xml:space="preserve"> (10). Sedangkan total bakteri umum tertinggi pada dosis perlakuan kGy 20 sebesar 7.181 x10</w:t>
      </w:r>
      <w:r>
        <w:rPr>
          <w:rFonts w:hint="default" w:ascii="Arial" w:hAnsi="Arial" w:cs="Arial"/>
          <w:sz w:val="24"/>
          <w:szCs w:val="24"/>
          <w:vertAlign w:val="superscript"/>
          <w:lang w:val="en-US"/>
        </w:rPr>
        <w:t>5</w:t>
      </w:r>
      <w:r>
        <w:rPr>
          <w:rFonts w:hint="default" w:ascii="Arial" w:hAnsi="Arial" w:cs="Arial"/>
          <w:sz w:val="24"/>
          <w:szCs w:val="24"/>
          <w:lang w:val="en-US"/>
        </w:rPr>
        <w:t xml:space="preserve"> (718.100).</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Pembukti</w:t>
      </w:r>
      <w:bookmarkStart w:id="0" w:name="_GoBack"/>
      <w:bookmarkEnd w:id="0"/>
      <w:r>
        <w:rPr>
          <w:rFonts w:hint="default" w:ascii="Arial" w:hAnsi="Arial" w:cs="Arial"/>
          <w:sz w:val="24"/>
          <w:szCs w:val="24"/>
          <w:lang w:val="en-US"/>
        </w:rPr>
        <w:t>an scientific hasil pada tabel di atas, perlu dilakukan secara statistika. Sesuai dengan desain dan jenis penelitian ini, maka analisa yang digunakan Anova RAL.</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Sebelum dilakukan Uji Anova, terlebih dahulu dilakukan uji normalitas data, didapatkan hasil uji normalitas data, sebagai berikut ini.</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Tabel 33 : Hasil Uji Normalitas Data</w:t>
      </w:r>
    </w:p>
    <w:p>
      <w:pPr>
        <w:jc w:val="both"/>
        <w:rPr>
          <w:rFonts w:hint="default" w:ascii="Arial" w:hAnsi="Arial" w:cs="Arial"/>
          <w:sz w:val="24"/>
          <w:szCs w:val="24"/>
          <w:lang w:val="en-US"/>
        </w:rPr>
      </w:pPr>
    </w:p>
    <w:tbl>
      <w:tblPr>
        <w:tblStyle w:val="3"/>
        <w:tblW w:w="8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48"/>
        <w:gridCol w:w="1124"/>
        <w:gridCol w:w="927"/>
        <w:gridCol w:w="1054"/>
        <w:gridCol w:w="1169"/>
        <w:gridCol w:w="1008"/>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61" w:type="dxa"/>
            <w:gridSpan w:val="7"/>
            <w:tcBorders>
              <w:tl2br w:val="nil"/>
              <w:tr2bl w:val="nil"/>
            </w:tcBorders>
            <w:shd w:val="clear" w:color="auto" w:fill="FFFFFF"/>
            <w:noWrap w:val="0"/>
            <w:vAlign w:val="center"/>
          </w:tcPr>
          <w:p>
            <w:pPr>
              <w:spacing w:beforeLines="0" w:afterLines="0" w:line="320" w:lineRule="atLeast"/>
              <w:ind w:left="60" w:right="60"/>
              <w:jc w:val="center"/>
              <w:rPr>
                <w:rFonts w:hint="default" w:ascii="Arial" w:hAnsi="Arial"/>
                <w:color w:val="010205"/>
                <w:sz w:val="22"/>
                <w:szCs w:val="24"/>
              </w:rPr>
            </w:pPr>
            <w:r>
              <w:rPr>
                <w:rFonts w:hint="default" w:ascii="Arial" w:hAnsi="Arial"/>
                <w:b/>
                <w:color w:val="010205"/>
                <w:sz w:val="22"/>
                <w:szCs w:val="24"/>
              </w:rPr>
              <w:t>Tests of Normality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2148" w:type="dxa"/>
            <w:vMerge w:val="restart"/>
            <w:tcBorders>
              <w:tl2br w:val="nil"/>
              <w:tr2bl w:val="nil"/>
            </w:tcBorders>
            <w:shd w:val="clear" w:color="auto" w:fill="FFFFFF"/>
            <w:noWrap w:val="0"/>
            <w:vAlign w:val="bottom"/>
          </w:tcPr>
          <w:p>
            <w:pPr>
              <w:spacing w:beforeLines="0" w:afterLines="0" w:line="720" w:lineRule="auto"/>
              <w:ind w:left="1215" w:leftChars="0" w:right="60" w:hanging="1215" w:hangingChars="675"/>
              <w:jc w:val="both"/>
              <w:rPr>
                <w:rFonts w:hint="default" w:ascii="Arial" w:hAnsi="Arial"/>
                <w:color w:val="264A60"/>
                <w:sz w:val="18"/>
                <w:szCs w:val="24"/>
              </w:rPr>
            </w:pPr>
            <w:r>
              <w:rPr>
                <w:rFonts w:hint="default" w:ascii="Arial" w:hAnsi="Arial"/>
                <w:color w:val="264A60"/>
                <w:sz w:val="18"/>
                <w:szCs w:val="24"/>
              </w:rPr>
              <w:t>Total Bakteri Umum</w:t>
            </w:r>
          </w:p>
        </w:tc>
        <w:tc>
          <w:tcPr>
            <w:tcW w:w="3105" w:type="dxa"/>
            <w:gridSpan w:val="3"/>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Kolmogorov-Smirnov</w:t>
            </w:r>
            <w:r>
              <w:rPr>
                <w:rFonts w:hint="default" w:ascii="Arial" w:hAnsi="Arial"/>
                <w:color w:val="264A60"/>
                <w:sz w:val="18"/>
                <w:szCs w:val="24"/>
                <w:vertAlign w:val="superscript"/>
              </w:rPr>
              <w:t>a</w:t>
            </w:r>
          </w:p>
        </w:tc>
        <w:tc>
          <w:tcPr>
            <w:tcW w:w="3008" w:type="dxa"/>
            <w:gridSpan w:val="3"/>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b/>
                <w:bCs/>
                <w:color w:val="264A60"/>
                <w:sz w:val="18"/>
                <w:szCs w:val="24"/>
              </w:rPr>
              <w:t>Shapiro-Wilk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2148" w:type="dxa"/>
            <w:vMerge w:val="continue"/>
            <w:tcBorders>
              <w:tl2br w:val="nil"/>
              <w:tr2bl w:val="nil"/>
            </w:tcBorders>
            <w:shd w:val="clear" w:color="auto" w:fill="FFFFFF"/>
            <w:noWrap w:val="0"/>
            <w:vAlign w:val="bottom"/>
          </w:tcPr>
          <w:p>
            <w:pPr>
              <w:spacing w:beforeLines="0" w:afterLines="0"/>
              <w:rPr>
                <w:rFonts w:hint="default" w:ascii="Arial" w:hAnsi="Arial"/>
                <w:color w:val="264A60"/>
                <w:sz w:val="18"/>
                <w:szCs w:val="24"/>
              </w:rPr>
            </w:pPr>
          </w:p>
        </w:tc>
        <w:tc>
          <w:tcPr>
            <w:tcW w:w="1124"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Statistic</w:t>
            </w:r>
          </w:p>
        </w:tc>
        <w:tc>
          <w:tcPr>
            <w:tcW w:w="927"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df</w:t>
            </w:r>
          </w:p>
        </w:tc>
        <w:tc>
          <w:tcPr>
            <w:tcW w:w="1054"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Sig.</w:t>
            </w:r>
          </w:p>
        </w:tc>
        <w:tc>
          <w:tcPr>
            <w:tcW w:w="1169"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Statistic</w:t>
            </w:r>
          </w:p>
        </w:tc>
        <w:tc>
          <w:tcPr>
            <w:tcW w:w="1008"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df</w:t>
            </w:r>
          </w:p>
        </w:tc>
        <w:tc>
          <w:tcPr>
            <w:tcW w:w="831"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2148" w:type="dxa"/>
            <w:vMerge w:val="continue"/>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p>
        </w:tc>
        <w:tc>
          <w:tcPr>
            <w:tcW w:w="1124"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.346</w:t>
            </w:r>
          </w:p>
        </w:tc>
        <w:tc>
          <w:tcPr>
            <w:tcW w:w="927"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20</w:t>
            </w:r>
          </w:p>
        </w:tc>
        <w:tc>
          <w:tcPr>
            <w:tcW w:w="1054"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.000</w:t>
            </w:r>
          </w:p>
        </w:tc>
        <w:tc>
          <w:tcPr>
            <w:tcW w:w="1169"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.474</w:t>
            </w:r>
          </w:p>
        </w:tc>
        <w:tc>
          <w:tcPr>
            <w:tcW w:w="1008"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20</w:t>
            </w:r>
          </w:p>
        </w:tc>
        <w:tc>
          <w:tcPr>
            <w:tcW w:w="831"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b/>
                <w:bCs/>
                <w:color w:val="010205"/>
                <w:sz w:val="18"/>
                <w:szCs w:val="24"/>
              </w:rPr>
            </w:pPr>
            <w:r>
              <w:rPr>
                <w:rFonts w:hint="default" w:ascii="Arial" w:hAnsi="Arial"/>
                <w:b/>
                <w:bCs/>
                <w:color w:val="010205"/>
                <w:sz w:val="18"/>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61" w:type="dxa"/>
            <w:gridSpan w:val="7"/>
            <w:tcBorders>
              <w:tl2br w:val="nil"/>
              <w:tr2bl w:val="nil"/>
            </w:tcBorders>
            <w:shd w:val="clear" w:color="auto" w:fill="FFFFFF"/>
            <w:noWrap w:val="0"/>
            <w:vAlign w:val="top"/>
          </w:tcPr>
          <w:p>
            <w:pPr>
              <w:spacing w:beforeLines="0" w:afterLines="0" w:line="320" w:lineRule="atLeast"/>
              <w:ind w:left="60" w:right="60"/>
              <w:rPr>
                <w:rFonts w:hint="default" w:ascii="Arial" w:hAnsi="Arial"/>
                <w:color w:val="010205"/>
                <w:sz w:val="18"/>
                <w:szCs w:val="24"/>
              </w:rPr>
            </w:pPr>
            <w:r>
              <w:rPr>
                <w:rFonts w:hint="default" w:ascii="Arial" w:hAnsi="Arial"/>
                <w:color w:val="010205"/>
                <w:sz w:val="18"/>
                <w:szCs w:val="24"/>
              </w:rPr>
              <w:t>a. Lilliefors Significance Correction</w:t>
            </w:r>
          </w:p>
        </w:tc>
      </w:tr>
    </w:tbl>
    <w:p>
      <w:pPr>
        <w:jc w:val="both"/>
        <w:rPr>
          <w:rFonts w:hint="default" w:ascii="Arial" w:hAnsi="Arial" w:cs="Arial"/>
          <w:sz w:val="24"/>
          <w:szCs w:val="24"/>
        </w:rPr>
      </w:pPr>
    </w:p>
    <w:p>
      <w:pPr>
        <w:jc w:val="both"/>
        <w:rPr>
          <w:rFonts w:hint="default" w:ascii="Arial" w:hAnsi="Arial" w:cs="Arial"/>
          <w:sz w:val="24"/>
          <w:szCs w:val="24"/>
          <w:lang w:val="en-US"/>
        </w:rPr>
      </w:pPr>
      <w:r>
        <w:rPr>
          <w:rFonts w:hint="default" w:ascii="Arial" w:hAnsi="Arial" w:cs="Arial"/>
          <w:sz w:val="24"/>
          <w:szCs w:val="24"/>
          <w:lang w:val="en-US"/>
        </w:rPr>
        <w:t>Hasil analisa menunjukkan bahwa sig. 0,000, angka ini menunjukkan data tidak berdistribusi normal pada kolom Shapiro-Wilk (P &lt; 0,05). Sehingga analisa statistik yang semula Anova RAL, diganti dengan Analisa Kruskal-Wallis (alternatif pengganti uji Anova RAL).</w:t>
      </w:r>
    </w:p>
    <w:p>
      <w:pPr>
        <w:jc w:val="both"/>
        <w:rPr>
          <w:rFonts w:hint="default" w:ascii="Arial" w:hAnsi="Arial" w:cs="Arial"/>
          <w:sz w:val="24"/>
          <w:szCs w:val="24"/>
        </w:rPr>
      </w:pPr>
    </w:p>
    <w:p>
      <w:pPr>
        <w:jc w:val="both"/>
        <w:rPr>
          <w:rFonts w:hint="default" w:ascii="Arial" w:hAnsi="Arial" w:cs="Arial"/>
          <w:sz w:val="24"/>
          <w:szCs w:val="24"/>
          <w:lang w:val="en-US"/>
        </w:rPr>
      </w:pPr>
      <w:r>
        <w:rPr>
          <w:rFonts w:hint="default" w:ascii="Arial" w:hAnsi="Arial" w:cs="Arial"/>
          <w:sz w:val="24"/>
          <w:szCs w:val="24"/>
          <w:lang w:val="en-US"/>
        </w:rPr>
        <w:t>Hasil analisa Kruskal-Wallis didapatkan nilai Asymp. Sig sebesar 0,005 yang berarti terdapat perbedaan yang nyata dari 5 dosis perlakuan (P &lt; 0,05), seperti pada tabel berikut.</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Tabel 44 : Hasil Analisa Kruskal-Wallis</w:t>
      </w:r>
    </w:p>
    <w:p>
      <w:pPr>
        <w:jc w:val="both"/>
        <w:rPr>
          <w:rFonts w:hint="default" w:ascii="Arial" w:hAnsi="Arial" w:cs="Arial"/>
          <w:sz w:val="24"/>
          <w:szCs w:val="24"/>
          <w:lang w:val="en-US"/>
        </w:rPr>
      </w:pPr>
    </w:p>
    <w:tbl>
      <w:tblPr>
        <w:tblStyle w:val="3"/>
        <w:tblW w:w="8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92"/>
        <w:gridCol w:w="4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61" w:type="dxa"/>
            <w:gridSpan w:val="2"/>
            <w:tcBorders>
              <w:tl2br w:val="nil"/>
              <w:tr2bl w:val="nil"/>
            </w:tcBorders>
            <w:shd w:val="clear" w:color="auto" w:fill="FFFFFF"/>
            <w:noWrap w:val="0"/>
            <w:vAlign w:val="center"/>
          </w:tcPr>
          <w:p>
            <w:pPr>
              <w:spacing w:beforeLines="0" w:afterLines="0" w:line="320" w:lineRule="atLeast"/>
              <w:ind w:left="60" w:right="60"/>
              <w:jc w:val="center"/>
              <w:rPr>
                <w:rFonts w:hint="default" w:ascii="Arial" w:hAnsi="Arial"/>
                <w:color w:val="010205"/>
                <w:sz w:val="22"/>
                <w:szCs w:val="24"/>
              </w:rPr>
            </w:pPr>
            <w:r>
              <w:rPr>
                <w:rFonts w:hint="default" w:ascii="Arial" w:hAnsi="Arial"/>
                <w:b/>
                <w:color w:val="010205"/>
                <w:sz w:val="22"/>
                <w:szCs w:val="24"/>
              </w:rPr>
              <w:t>Test Statistics</w:t>
            </w:r>
            <w:r>
              <w:rPr>
                <w:rFonts w:hint="default" w:ascii="Arial" w:hAnsi="Arial"/>
                <w:b/>
                <w:color w:val="010205"/>
                <w:sz w:val="22"/>
                <w:szCs w:val="24"/>
                <w:vertAlign w:val="superscript"/>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492" w:type="dxa"/>
            <w:tcBorders>
              <w:tl2br w:val="nil"/>
              <w:tr2bl w:val="nil"/>
            </w:tcBorders>
            <w:shd w:val="clear" w:color="auto" w:fill="FFFFFF"/>
            <w:noWrap w:val="0"/>
            <w:vAlign w:val="bottom"/>
          </w:tcPr>
          <w:p>
            <w:pPr>
              <w:spacing w:beforeLines="0" w:afterLines="0"/>
              <w:rPr>
                <w:rFonts w:hint="default"/>
                <w:sz w:val="24"/>
                <w:szCs w:val="24"/>
              </w:rPr>
            </w:pPr>
          </w:p>
        </w:tc>
        <w:tc>
          <w:tcPr>
            <w:tcW w:w="4769"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Total Bakteri Umum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492"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Chi-Square</w:t>
            </w:r>
          </w:p>
        </w:tc>
        <w:tc>
          <w:tcPr>
            <w:tcW w:w="4769"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14.836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492"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df</w:t>
            </w:r>
          </w:p>
        </w:tc>
        <w:tc>
          <w:tcPr>
            <w:tcW w:w="4769"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492"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Asymp. Sig.</w:t>
            </w:r>
          </w:p>
        </w:tc>
        <w:tc>
          <w:tcPr>
            <w:tcW w:w="4769"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61" w:type="dxa"/>
            <w:gridSpan w:val="2"/>
            <w:tcBorders>
              <w:tl2br w:val="nil"/>
              <w:tr2bl w:val="nil"/>
            </w:tcBorders>
            <w:shd w:val="clear" w:color="auto" w:fill="FFFFFF"/>
            <w:noWrap w:val="0"/>
            <w:vAlign w:val="top"/>
          </w:tcPr>
          <w:p>
            <w:pPr>
              <w:spacing w:beforeLines="0" w:afterLines="0" w:line="320" w:lineRule="atLeast"/>
              <w:ind w:left="60" w:right="60"/>
              <w:rPr>
                <w:rFonts w:hint="default" w:ascii="Arial" w:hAnsi="Arial"/>
                <w:color w:val="010205"/>
                <w:sz w:val="18"/>
                <w:szCs w:val="24"/>
              </w:rPr>
            </w:pPr>
            <w:r>
              <w:rPr>
                <w:rFonts w:hint="default" w:ascii="Arial" w:hAnsi="Arial"/>
                <w:color w:val="010205"/>
                <w:sz w:val="18"/>
                <w:szCs w:val="24"/>
              </w:rPr>
              <w:t>a. Kruskal Wallis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261" w:type="dxa"/>
            <w:gridSpan w:val="2"/>
            <w:tcBorders>
              <w:tl2br w:val="nil"/>
              <w:tr2bl w:val="nil"/>
            </w:tcBorders>
            <w:shd w:val="clear" w:color="auto" w:fill="FFFFFF"/>
            <w:noWrap w:val="0"/>
            <w:vAlign w:val="top"/>
          </w:tcPr>
          <w:p>
            <w:pPr>
              <w:spacing w:beforeLines="0" w:afterLines="0" w:line="320" w:lineRule="atLeast"/>
              <w:ind w:left="60" w:right="60"/>
              <w:rPr>
                <w:rFonts w:hint="default" w:ascii="Arial" w:hAnsi="Arial"/>
                <w:color w:val="010205"/>
                <w:sz w:val="18"/>
                <w:szCs w:val="24"/>
              </w:rPr>
            </w:pPr>
            <w:r>
              <w:rPr>
                <w:rFonts w:hint="default" w:ascii="Arial" w:hAnsi="Arial"/>
                <w:color w:val="010205"/>
                <w:sz w:val="18"/>
                <w:szCs w:val="24"/>
              </w:rPr>
              <w:t>b. Grouping Variable: Perlakuan</w:t>
            </w:r>
          </w:p>
        </w:tc>
      </w:tr>
    </w:tbl>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Hasil lain yang didapat pada analisa Kruskal-Wallis adalah Mean Ranks dari kelima dosis perlakuan kGy terhadap Total Bakteri Umum. Pada tabel di bawah ini menunjukkan bahwa pada dosis 50 kGy berada rangking terbaik terhadap Total Bakteri Umum sebesar 5,00. Sedangkan Mean Ranks tertinggi Total Bakteri Umum pada Dosis 0 kGy sebesar 17.13. Secara lengkap Mean Ranks dari masing-masing dosis Iradiasi perlakuan dapat dilihat pada tabel di bawah ini.</w:t>
      </w: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 xml:space="preserve">Tabel 55 : Mean Ranks Dosis kGy Menurut Perlakuan </w:t>
      </w:r>
    </w:p>
    <w:p>
      <w:pPr>
        <w:jc w:val="both"/>
        <w:rPr>
          <w:rFonts w:hint="default" w:ascii="Arial" w:hAnsi="Arial" w:cs="Arial"/>
          <w:sz w:val="24"/>
          <w:szCs w:val="24"/>
          <w:lang w:val="en-US"/>
        </w:rPr>
      </w:pPr>
    </w:p>
    <w:tbl>
      <w:tblPr>
        <w:tblStyle w:val="3"/>
        <w:tblW w:w="8276" w:type="dxa"/>
        <w:tblInd w:w="0" w:type="dxa"/>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Layout w:type="fixed"/>
        <w:tblCellMar>
          <w:top w:w="0" w:type="dxa"/>
          <w:left w:w="0" w:type="dxa"/>
          <w:bottom w:w="0" w:type="dxa"/>
          <w:right w:w="0" w:type="dxa"/>
        </w:tblCellMar>
      </w:tblPr>
      <w:tblGrid>
        <w:gridCol w:w="2561"/>
        <w:gridCol w:w="1708"/>
        <w:gridCol w:w="1023"/>
        <w:gridCol w:w="2984"/>
      </w:tblGrid>
      <w:tr>
        <w:tblPrEx>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CellMar>
            <w:top w:w="0" w:type="dxa"/>
            <w:left w:w="0" w:type="dxa"/>
            <w:bottom w:w="0" w:type="dxa"/>
            <w:right w:w="0" w:type="dxa"/>
          </w:tblCellMar>
        </w:tblPrEx>
        <w:trPr>
          <w:cantSplit/>
        </w:trPr>
        <w:tc>
          <w:tcPr>
            <w:tcW w:w="8276" w:type="dxa"/>
            <w:gridSpan w:val="4"/>
            <w:tcBorders>
              <w:tl2br w:val="nil"/>
              <w:tr2bl w:val="nil"/>
            </w:tcBorders>
            <w:shd w:val="clear" w:color="auto" w:fill="FFFFFF"/>
            <w:noWrap w:val="0"/>
            <w:vAlign w:val="center"/>
          </w:tcPr>
          <w:p>
            <w:pPr>
              <w:spacing w:beforeLines="0" w:afterLines="0" w:line="320" w:lineRule="atLeast"/>
              <w:ind w:left="60" w:right="60"/>
              <w:jc w:val="center"/>
              <w:rPr>
                <w:rFonts w:hint="default" w:ascii="Arial" w:hAnsi="Arial"/>
                <w:color w:val="010205"/>
                <w:sz w:val="22"/>
                <w:szCs w:val="24"/>
              </w:rPr>
            </w:pPr>
            <w:r>
              <w:rPr>
                <w:rFonts w:hint="default" w:ascii="Arial" w:hAnsi="Arial"/>
                <w:b/>
                <w:color w:val="010205"/>
                <w:sz w:val="22"/>
                <w:szCs w:val="24"/>
              </w:rPr>
              <w:t>Ranks</w:t>
            </w:r>
          </w:p>
        </w:tc>
      </w:tr>
      <w:tr>
        <w:tblPrEx>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CellMar>
            <w:top w:w="0" w:type="dxa"/>
            <w:left w:w="0" w:type="dxa"/>
            <w:bottom w:w="0" w:type="dxa"/>
            <w:right w:w="0" w:type="dxa"/>
          </w:tblCellMar>
        </w:tblPrEx>
        <w:trPr>
          <w:cantSplit/>
        </w:trPr>
        <w:tc>
          <w:tcPr>
            <w:tcW w:w="2561" w:type="dxa"/>
            <w:tcBorders>
              <w:tl2br w:val="nil"/>
              <w:tr2bl w:val="nil"/>
            </w:tcBorders>
            <w:shd w:val="clear" w:color="auto" w:fill="auto"/>
            <w:noWrap w:val="0"/>
            <w:vAlign w:val="top"/>
          </w:tcPr>
          <w:p>
            <w:pPr>
              <w:spacing w:beforeLines="0" w:afterLines="0"/>
              <w:rPr>
                <w:rFonts w:hint="default" w:ascii="Arial" w:hAnsi="Arial"/>
                <w:color w:val="010205"/>
                <w:sz w:val="22"/>
                <w:szCs w:val="24"/>
              </w:rPr>
            </w:pPr>
          </w:p>
        </w:tc>
        <w:tc>
          <w:tcPr>
            <w:tcW w:w="1708" w:type="dxa"/>
            <w:tcBorders>
              <w:tl2br w:val="nil"/>
              <w:tr2bl w:val="nil"/>
            </w:tcBorders>
            <w:shd w:val="clear" w:color="auto" w:fill="FFFFFF"/>
            <w:noWrap w:val="0"/>
            <w:vAlign w:val="bottom"/>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Perlakuan</w:t>
            </w:r>
          </w:p>
        </w:tc>
        <w:tc>
          <w:tcPr>
            <w:tcW w:w="1023"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N</w:t>
            </w:r>
          </w:p>
        </w:tc>
        <w:tc>
          <w:tcPr>
            <w:tcW w:w="2984" w:type="dxa"/>
            <w:tcBorders>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Mean Rank</w:t>
            </w:r>
          </w:p>
        </w:tc>
      </w:tr>
      <w:tr>
        <w:tblPrEx>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CellMar>
            <w:top w:w="0" w:type="dxa"/>
            <w:left w:w="0" w:type="dxa"/>
            <w:bottom w:w="0" w:type="dxa"/>
            <w:right w:w="0" w:type="dxa"/>
          </w:tblCellMar>
        </w:tblPrEx>
        <w:trPr>
          <w:cantSplit/>
        </w:trPr>
        <w:tc>
          <w:tcPr>
            <w:tcW w:w="2561" w:type="dxa"/>
            <w:vMerge w:val="restart"/>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p>
          <w:p>
            <w:pPr>
              <w:spacing w:beforeLines="0" w:afterLines="0" w:line="320" w:lineRule="atLeast"/>
              <w:ind w:left="60" w:right="60"/>
              <w:rPr>
                <w:rFonts w:hint="default" w:ascii="Arial" w:hAnsi="Arial"/>
                <w:color w:val="264A60"/>
                <w:sz w:val="18"/>
                <w:szCs w:val="24"/>
              </w:rPr>
            </w:pPr>
          </w:p>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Total Bakteri Umum</w:t>
            </w:r>
          </w:p>
        </w:tc>
        <w:tc>
          <w:tcPr>
            <w:tcW w:w="1708"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0_kGy</w:t>
            </w:r>
          </w:p>
        </w:tc>
        <w:tc>
          <w:tcPr>
            <w:tcW w:w="1023"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w:t>
            </w:r>
          </w:p>
        </w:tc>
        <w:tc>
          <w:tcPr>
            <w:tcW w:w="2984"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17.13</w:t>
            </w:r>
          </w:p>
        </w:tc>
      </w:tr>
      <w:tr>
        <w:tblPrEx>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CellMar>
            <w:top w:w="0" w:type="dxa"/>
            <w:left w:w="0" w:type="dxa"/>
            <w:bottom w:w="0" w:type="dxa"/>
            <w:right w:w="0" w:type="dxa"/>
          </w:tblCellMar>
        </w:tblPrEx>
        <w:trPr>
          <w:cantSplit/>
        </w:trPr>
        <w:tc>
          <w:tcPr>
            <w:tcW w:w="2561" w:type="dxa"/>
            <w:vMerge w:val="continue"/>
            <w:tcBorders>
              <w:tl2br w:val="nil"/>
              <w:tr2bl w:val="nil"/>
            </w:tcBorders>
            <w:shd w:val="clear" w:color="auto" w:fill="E0E0E0"/>
            <w:noWrap w:val="0"/>
            <w:vAlign w:val="top"/>
          </w:tcPr>
          <w:p>
            <w:pPr>
              <w:spacing w:beforeLines="0" w:afterLines="0"/>
              <w:rPr>
                <w:rFonts w:hint="default" w:ascii="Arial" w:hAnsi="Arial"/>
                <w:color w:val="010205"/>
                <w:sz w:val="18"/>
                <w:szCs w:val="24"/>
              </w:rPr>
            </w:pPr>
          </w:p>
        </w:tc>
        <w:tc>
          <w:tcPr>
            <w:tcW w:w="1708"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20_kGy</w:t>
            </w:r>
          </w:p>
        </w:tc>
        <w:tc>
          <w:tcPr>
            <w:tcW w:w="1023"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w:t>
            </w:r>
          </w:p>
        </w:tc>
        <w:tc>
          <w:tcPr>
            <w:tcW w:w="2984"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15.88</w:t>
            </w:r>
          </w:p>
        </w:tc>
      </w:tr>
      <w:tr>
        <w:tblPrEx>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CellMar>
            <w:top w:w="0" w:type="dxa"/>
            <w:left w:w="0" w:type="dxa"/>
            <w:bottom w:w="0" w:type="dxa"/>
            <w:right w:w="0" w:type="dxa"/>
          </w:tblCellMar>
        </w:tblPrEx>
        <w:trPr>
          <w:cantSplit/>
        </w:trPr>
        <w:tc>
          <w:tcPr>
            <w:tcW w:w="2561" w:type="dxa"/>
            <w:vMerge w:val="continue"/>
            <w:tcBorders>
              <w:tl2br w:val="nil"/>
              <w:tr2bl w:val="nil"/>
            </w:tcBorders>
            <w:shd w:val="clear" w:color="auto" w:fill="E0E0E0"/>
            <w:noWrap w:val="0"/>
            <w:vAlign w:val="top"/>
          </w:tcPr>
          <w:p>
            <w:pPr>
              <w:spacing w:beforeLines="0" w:afterLines="0"/>
              <w:rPr>
                <w:rFonts w:hint="default" w:ascii="Arial" w:hAnsi="Arial"/>
                <w:color w:val="010205"/>
                <w:sz w:val="18"/>
                <w:szCs w:val="24"/>
              </w:rPr>
            </w:pPr>
          </w:p>
        </w:tc>
        <w:tc>
          <w:tcPr>
            <w:tcW w:w="1708"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30_kGy</w:t>
            </w:r>
          </w:p>
        </w:tc>
        <w:tc>
          <w:tcPr>
            <w:tcW w:w="1023"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w:t>
            </w:r>
          </w:p>
        </w:tc>
        <w:tc>
          <w:tcPr>
            <w:tcW w:w="2984"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7.25</w:t>
            </w:r>
          </w:p>
        </w:tc>
      </w:tr>
      <w:tr>
        <w:tblPrEx>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CellMar>
            <w:top w:w="0" w:type="dxa"/>
            <w:left w:w="0" w:type="dxa"/>
            <w:bottom w:w="0" w:type="dxa"/>
            <w:right w:w="0" w:type="dxa"/>
          </w:tblCellMar>
        </w:tblPrEx>
        <w:trPr>
          <w:cantSplit/>
        </w:trPr>
        <w:tc>
          <w:tcPr>
            <w:tcW w:w="2561" w:type="dxa"/>
            <w:vMerge w:val="continue"/>
            <w:tcBorders>
              <w:tl2br w:val="nil"/>
              <w:tr2bl w:val="nil"/>
            </w:tcBorders>
            <w:shd w:val="clear" w:color="auto" w:fill="E0E0E0"/>
            <w:noWrap w:val="0"/>
            <w:vAlign w:val="top"/>
          </w:tcPr>
          <w:p>
            <w:pPr>
              <w:spacing w:beforeLines="0" w:afterLines="0"/>
              <w:rPr>
                <w:rFonts w:hint="default" w:ascii="Arial" w:hAnsi="Arial"/>
                <w:color w:val="010205"/>
                <w:sz w:val="18"/>
                <w:szCs w:val="24"/>
              </w:rPr>
            </w:pPr>
          </w:p>
        </w:tc>
        <w:tc>
          <w:tcPr>
            <w:tcW w:w="1708"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40_kGy</w:t>
            </w:r>
          </w:p>
        </w:tc>
        <w:tc>
          <w:tcPr>
            <w:tcW w:w="1023"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w:t>
            </w:r>
          </w:p>
        </w:tc>
        <w:tc>
          <w:tcPr>
            <w:tcW w:w="2984"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7.25</w:t>
            </w:r>
          </w:p>
        </w:tc>
      </w:tr>
      <w:tr>
        <w:tblPrEx>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CellMar>
            <w:top w:w="0" w:type="dxa"/>
            <w:left w:w="0" w:type="dxa"/>
            <w:bottom w:w="0" w:type="dxa"/>
            <w:right w:w="0" w:type="dxa"/>
          </w:tblCellMar>
        </w:tblPrEx>
        <w:trPr>
          <w:cantSplit/>
        </w:trPr>
        <w:tc>
          <w:tcPr>
            <w:tcW w:w="2561" w:type="dxa"/>
            <w:vMerge w:val="continue"/>
            <w:tcBorders>
              <w:tl2br w:val="nil"/>
              <w:tr2bl w:val="nil"/>
            </w:tcBorders>
            <w:shd w:val="clear" w:color="auto" w:fill="E0E0E0"/>
            <w:noWrap w:val="0"/>
            <w:vAlign w:val="top"/>
          </w:tcPr>
          <w:p>
            <w:pPr>
              <w:spacing w:beforeLines="0" w:afterLines="0"/>
              <w:rPr>
                <w:rFonts w:hint="default" w:ascii="Arial" w:hAnsi="Arial"/>
                <w:color w:val="010205"/>
                <w:sz w:val="18"/>
                <w:szCs w:val="24"/>
              </w:rPr>
            </w:pPr>
          </w:p>
        </w:tc>
        <w:tc>
          <w:tcPr>
            <w:tcW w:w="1708"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50_kGy</w:t>
            </w:r>
          </w:p>
        </w:tc>
        <w:tc>
          <w:tcPr>
            <w:tcW w:w="1023"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w:t>
            </w:r>
          </w:p>
        </w:tc>
        <w:tc>
          <w:tcPr>
            <w:tcW w:w="2984"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5.00</w:t>
            </w:r>
          </w:p>
        </w:tc>
      </w:tr>
      <w:tr>
        <w:tblPrEx>
          <w:tblBorders>
            <w:top w:val="single" w:color="152935" w:sz="8" w:space="0"/>
            <w:left w:val="single" w:color="152935" w:sz="8" w:space="0"/>
            <w:bottom w:val="single" w:color="152935" w:sz="8" w:space="0"/>
            <w:right w:val="single" w:color="152935" w:sz="8" w:space="0"/>
            <w:insideH w:val="single" w:color="152935" w:sz="8" w:space="0"/>
            <w:insideV w:val="single" w:color="152935" w:sz="8" w:space="0"/>
          </w:tblBorders>
          <w:tblCellMar>
            <w:top w:w="0" w:type="dxa"/>
            <w:left w:w="0" w:type="dxa"/>
            <w:bottom w:w="0" w:type="dxa"/>
            <w:right w:w="0" w:type="dxa"/>
          </w:tblCellMar>
        </w:tblPrEx>
        <w:trPr>
          <w:cantSplit/>
        </w:trPr>
        <w:tc>
          <w:tcPr>
            <w:tcW w:w="2561" w:type="dxa"/>
            <w:vMerge w:val="continue"/>
            <w:tcBorders>
              <w:tl2br w:val="nil"/>
              <w:tr2bl w:val="nil"/>
            </w:tcBorders>
            <w:shd w:val="clear" w:color="auto" w:fill="E0E0E0"/>
            <w:noWrap w:val="0"/>
            <w:vAlign w:val="top"/>
          </w:tcPr>
          <w:p>
            <w:pPr>
              <w:spacing w:beforeLines="0" w:afterLines="0"/>
              <w:rPr>
                <w:rFonts w:hint="default" w:ascii="Arial" w:hAnsi="Arial"/>
                <w:color w:val="010205"/>
                <w:sz w:val="18"/>
                <w:szCs w:val="24"/>
              </w:rPr>
            </w:pPr>
          </w:p>
        </w:tc>
        <w:tc>
          <w:tcPr>
            <w:tcW w:w="1708" w:type="dxa"/>
            <w:tcBorders>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Total</w:t>
            </w:r>
          </w:p>
        </w:tc>
        <w:tc>
          <w:tcPr>
            <w:tcW w:w="1023" w:type="dxa"/>
            <w:tcBorders>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20</w:t>
            </w:r>
          </w:p>
        </w:tc>
        <w:tc>
          <w:tcPr>
            <w:tcW w:w="2984" w:type="dxa"/>
            <w:tcBorders>
              <w:tl2br w:val="nil"/>
              <w:tr2bl w:val="nil"/>
            </w:tcBorders>
            <w:shd w:val="clear" w:color="auto" w:fill="FFFFFF"/>
            <w:noWrap w:val="0"/>
            <w:vAlign w:val="center"/>
          </w:tcPr>
          <w:p>
            <w:pPr>
              <w:spacing w:beforeLines="0" w:afterLines="0"/>
              <w:rPr>
                <w:rFonts w:hint="default"/>
                <w:sz w:val="24"/>
                <w:szCs w:val="24"/>
              </w:rPr>
            </w:pPr>
          </w:p>
        </w:tc>
      </w:tr>
    </w:tbl>
    <w:p>
      <w:pPr>
        <w:jc w:val="both"/>
        <w:rPr>
          <w:rFonts w:hint="default" w:ascii="Arial" w:hAnsi="Arial" w:cs="Arial"/>
          <w:sz w:val="24"/>
          <w:szCs w:val="24"/>
          <w:lang w:val="en-US"/>
        </w:rPr>
      </w:pP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Berdasarkan hasil analisa Kruskal-Wallis didapat nilai signifikan sebesar 0,005, disimpulkan terdapat perbedaan yang nyata antar 5 perlakuan dosis iradiasi yang digunakan, untuk mengetahui perbedaan TBU antar perlakuan maka dilakukan uji lanjut dari hasil uji Kruskal-Wallis. Analisa statistik yang digunakan adalah uji Mann-Whitney.</w:t>
      </w:r>
    </w:p>
    <w:p>
      <w:pPr>
        <w:jc w:val="both"/>
        <w:rPr>
          <w:rFonts w:hint="default" w:ascii="Arial" w:hAnsi="Arial" w:cs="Arial"/>
          <w:sz w:val="24"/>
          <w:szCs w:val="24"/>
          <w:lang w:val="en-US"/>
        </w:rPr>
      </w:pPr>
    </w:p>
    <w:p>
      <w:pPr>
        <w:ind w:right="-1092" w:rightChars="-546"/>
        <w:jc w:val="both"/>
        <w:rPr>
          <w:rFonts w:hint="default" w:ascii="Arial" w:hAnsi="Arial" w:cs="Arial"/>
          <w:sz w:val="24"/>
          <w:szCs w:val="24"/>
          <w:lang w:val="en-US"/>
        </w:rPr>
      </w:pPr>
      <w:r>
        <w:rPr>
          <w:rFonts w:hint="default" w:ascii="Arial" w:hAnsi="Arial" w:cs="Arial"/>
          <w:sz w:val="24"/>
          <w:szCs w:val="24"/>
          <w:lang w:val="en-US"/>
        </w:rPr>
        <w:t>Tabel 88  : Nilai Mean dan Standar Deviasi Dosis Perlakuan Iradiasi</w:t>
      </w:r>
    </w:p>
    <w:p>
      <w:pPr>
        <w:ind w:right="-1092" w:rightChars="-546"/>
        <w:jc w:val="both"/>
      </w:pPr>
    </w:p>
    <w:tbl>
      <w:tblPr>
        <w:tblStyle w:val="3"/>
        <w:tblpPr w:leftFromText="180" w:rightFromText="180" w:vertAnchor="text" w:horzAnchor="page" w:tblpX="2042" w:tblpY="187"/>
        <w:tblOverlap w:val="never"/>
        <w:tblW w:w="82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1424"/>
        <w:gridCol w:w="1569"/>
        <w:gridCol w:w="1454"/>
        <w:gridCol w:w="1415"/>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right="-1092" w:rightChars="-546"/>
              <w:jc w:val="left"/>
              <w:textAlignment w:val="center"/>
              <w:rPr>
                <w:rFonts w:ascii="Calibri" w:hAnsi="Calibri" w:cs="Calibri"/>
                <w:i w:val="0"/>
                <w:iCs w:val="0"/>
                <w:color w:val="000000"/>
                <w:sz w:val="20"/>
                <w:szCs w:val="20"/>
                <w:u w:val="none"/>
              </w:rPr>
            </w:pPr>
            <w:r>
              <w:rPr>
                <w:rFonts w:hint="default" w:ascii="Calibri" w:hAnsi="Calibri" w:eastAsia="SimSun" w:cs="Calibri"/>
                <w:i w:val="0"/>
                <w:iCs w:val="0"/>
                <w:color w:val="000000"/>
                <w:kern w:val="0"/>
                <w:sz w:val="20"/>
                <w:szCs w:val="20"/>
                <w:u w:val="none"/>
                <w:lang w:val="en-US" w:eastAsia="zh-CN" w:bidi="ar"/>
              </w:rPr>
              <w:t>Parameter</w:t>
            </w:r>
          </w:p>
        </w:tc>
        <w:tc>
          <w:tcPr>
            <w:tcW w:w="7247" w:type="dxa"/>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right="-1092" w:rightChars="-546"/>
              <w:jc w:val="center"/>
              <w:textAlignment w:val="center"/>
              <w:rPr>
                <w:rFonts w:hint="default" w:ascii="Calibri" w:hAnsi="Calibri" w:cs="Calibri"/>
                <w:i w:val="0"/>
                <w:iCs w:val="0"/>
                <w:color w:val="000000"/>
                <w:sz w:val="20"/>
                <w:szCs w:val="20"/>
                <w:u w:val="none"/>
              </w:rPr>
            </w:pPr>
            <w:r>
              <w:rPr>
                <w:rFonts w:hint="default" w:ascii="Calibri" w:hAnsi="Calibri" w:eastAsia="SimSun" w:cs="Calibri"/>
                <w:i w:val="0"/>
                <w:iCs w:val="0"/>
                <w:color w:val="000000"/>
                <w:kern w:val="0"/>
                <w:sz w:val="20"/>
                <w:szCs w:val="20"/>
                <w:u w:val="none"/>
                <w:lang w:val="en-US" w:eastAsia="zh-CN" w:bidi="ar"/>
              </w:rPr>
              <w:t>Nilai Mean dan 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ind w:right="-1092" w:rightChars="-546"/>
              <w:rPr>
                <w:rFonts w:hint="default" w:ascii="Calibri" w:hAnsi="Calibri" w:cs="Calibri"/>
                <w:i w:val="0"/>
                <w:iCs w:val="0"/>
                <w:color w:val="000000"/>
                <w:sz w:val="20"/>
                <w:szCs w:val="20"/>
                <w:u w:val="none"/>
              </w:rPr>
            </w:pPr>
          </w:p>
        </w:tc>
        <w:tc>
          <w:tcPr>
            <w:tcW w:w="14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right="-1092" w:rightChars="-546"/>
              <w:jc w:val="both"/>
              <w:textAlignment w:val="center"/>
              <w:rPr>
                <w:rFonts w:hint="default" w:ascii="Calibri" w:hAnsi="Calibri" w:cs="Calibri"/>
                <w:i w:val="0"/>
                <w:iCs w:val="0"/>
                <w:color w:val="000000"/>
                <w:sz w:val="20"/>
                <w:szCs w:val="20"/>
                <w:u w:val="none"/>
                <w:lang w:val="en-US"/>
              </w:rPr>
            </w:pPr>
            <w:r>
              <w:rPr>
                <w:rFonts w:hint="default" w:ascii="Calibri" w:hAnsi="Calibri" w:eastAsia="SimSun" w:cs="Calibri"/>
                <w:i w:val="0"/>
                <w:iCs w:val="0"/>
                <w:color w:val="000000"/>
                <w:kern w:val="0"/>
                <w:sz w:val="20"/>
                <w:szCs w:val="20"/>
                <w:u w:val="none"/>
                <w:lang w:val="en-US" w:eastAsia="zh-CN" w:bidi="ar"/>
              </w:rPr>
              <w:t>0_kGy</w:t>
            </w:r>
          </w:p>
        </w:tc>
        <w:tc>
          <w:tcPr>
            <w:tcW w:w="15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right="-1092" w:rightChars="-546"/>
              <w:jc w:val="both"/>
              <w:textAlignment w:val="center"/>
              <w:rPr>
                <w:rFonts w:hint="default" w:ascii="Calibri" w:hAnsi="Calibri" w:cs="Calibri"/>
                <w:i w:val="0"/>
                <w:iCs w:val="0"/>
                <w:color w:val="000000"/>
                <w:sz w:val="20"/>
                <w:szCs w:val="20"/>
                <w:u w:val="none"/>
                <w:lang w:val="en-US"/>
              </w:rPr>
            </w:pPr>
            <w:r>
              <w:rPr>
                <w:rFonts w:hint="default" w:ascii="Calibri" w:hAnsi="Calibri" w:eastAsia="SimSun" w:cs="Calibri"/>
                <w:i w:val="0"/>
                <w:iCs w:val="0"/>
                <w:color w:val="000000"/>
                <w:kern w:val="0"/>
                <w:sz w:val="20"/>
                <w:szCs w:val="20"/>
                <w:u w:val="none"/>
                <w:lang w:val="en-US" w:eastAsia="zh-CN" w:bidi="ar"/>
              </w:rPr>
              <w:t>20_kGy</w:t>
            </w:r>
          </w:p>
        </w:tc>
        <w:tc>
          <w:tcPr>
            <w:tcW w:w="14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right="-1092" w:rightChars="-546"/>
              <w:jc w:val="both"/>
              <w:textAlignment w:val="center"/>
              <w:rPr>
                <w:rFonts w:hint="default" w:ascii="Calibri" w:hAnsi="Calibri" w:cs="Calibri"/>
                <w:i w:val="0"/>
                <w:iCs w:val="0"/>
                <w:color w:val="000000"/>
                <w:sz w:val="20"/>
                <w:szCs w:val="20"/>
                <w:u w:val="none"/>
                <w:lang w:val="en-US"/>
              </w:rPr>
            </w:pPr>
            <w:r>
              <w:rPr>
                <w:rFonts w:hint="default" w:ascii="Calibri" w:hAnsi="Calibri" w:eastAsia="SimSun" w:cs="Calibri"/>
                <w:i w:val="0"/>
                <w:iCs w:val="0"/>
                <w:color w:val="000000"/>
                <w:kern w:val="0"/>
                <w:sz w:val="20"/>
                <w:szCs w:val="20"/>
                <w:u w:val="none"/>
                <w:lang w:val="en-US" w:eastAsia="zh-CN" w:bidi="ar"/>
              </w:rPr>
              <w:t>30_kGy</w:t>
            </w:r>
          </w:p>
        </w:tc>
        <w:tc>
          <w:tcPr>
            <w:tcW w:w="14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right="-1092" w:rightChars="-546"/>
              <w:jc w:val="both"/>
              <w:textAlignment w:val="center"/>
              <w:rPr>
                <w:rFonts w:hint="default" w:ascii="Calibri" w:hAnsi="Calibri" w:cs="Calibri"/>
                <w:i w:val="0"/>
                <w:iCs w:val="0"/>
                <w:color w:val="000000"/>
                <w:sz w:val="20"/>
                <w:szCs w:val="20"/>
                <w:u w:val="none"/>
                <w:lang w:val="en-US"/>
              </w:rPr>
            </w:pPr>
            <w:r>
              <w:rPr>
                <w:rFonts w:hint="default" w:ascii="Calibri" w:hAnsi="Calibri" w:eastAsia="SimSun" w:cs="Calibri"/>
                <w:i w:val="0"/>
                <w:iCs w:val="0"/>
                <w:color w:val="000000"/>
                <w:kern w:val="0"/>
                <w:sz w:val="20"/>
                <w:szCs w:val="20"/>
                <w:u w:val="none"/>
                <w:lang w:val="en-US" w:eastAsia="zh-CN" w:bidi="ar"/>
              </w:rPr>
              <w:t>40_kGy</w:t>
            </w:r>
          </w:p>
        </w:tc>
        <w:tc>
          <w:tcPr>
            <w:tcW w:w="13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right="-1092" w:rightChars="-546"/>
              <w:jc w:val="both"/>
              <w:textAlignment w:val="center"/>
              <w:rPr>
                <w:rFonts w:hint="default" w:ascii="Calibri" w:hAnsi="Calibri" w:cs="Calibri"/>
                <w:i w:val="0"/>
                <w:iCs w:val="0"/>
                <w:color w:val="000000"/>
                <w:sz w:val="20"/>
                <w:szCs w:val="20"/>
                <w:u w:val="none"/>
                <w:lang w:val="en-US"/>
              </w:rPr>
            </w:pPr>
            <w:r>
              <w:rPr>
                <w:rFonts w:hint="default" w:ascii="Calibri" w:hAnsi="Calibri" w:eastAsia="SimSun" w:cs="Calibri"/>
                <w:i w:val="0"/>
                <w:iCs w:val="0"/>
                <w:color w:val="000000"/>
                <w:kern w:val="0"/>
                <w:sz w:val="20"/>
                <w:szCs w:val="20"/>
                <w:u w:val="none"/>
                <w:lang w:val="en-US" w:eastAsia="zh-CN" w:bidi="ar"/>
              </w:rPr>
              <w:t>50_kGy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jc w:val="center"/>
        </w:trPr>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right="-1092" w:rightChars="-546"/>
              <w:jc w:val="left"/>
              <w:textAlignment w:val="center"/>
              <w:rPr>
                <w:rFonts w:hint="default" w:ascii="Calibri" w:hAnsi="Calibri" w:cs="Calibri"/>
                <w:i w:val="0"/>
                <w:iCs w:val="0"/>
                <w:color w:val="000000"/>
                <w:sz w:val="20"/>
                <w:szCs w:val="20"/>
                <w:u w:val="none"/>
                <w:lang w:val="en-US"/>
              </w:rPr>
            </w:pPr>
            <w:r>
              <w:rPr>
                <w:rFonts w:hint="default" w:ascii="Calibri" w:hAnsi="Calibri" w:eastAsia="SimSun" w:cs="Calibri"/>
                <w:i w:val="0"/>
                <w:iCs w:val="0"/>
                <w:color w:val="000000"/>
                <w:kern w:val="0"/>
                <w:sz w:val="20"/>
                <w:szCs w:val="20"/>
                <w:u w:val="none"/>
                <w:lang w:val="en-US" w:eastAsia="zh-CN" w:bidi="ar"/>
              </w:rPr>
              <w:t>TBU</w:t>
            </w:r>
          </w:p>
        </w:tc>
        <w:tc>
          <w:tcPr>
            <w:tcW w:w="14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lang w:val="en-US"/>
              </w:rPr>
            </w:pPr>
            <w:r>
              <w:rPr>
                <w:rFonts w:hint="default" w:ascii="Arial" w:hAnsi="Arial" w:eastAsia="SimSun" w:cs="Arial"/>
                <w:i w:val="0"/>
                <w:iCs w:val="0"/>
                <w:color w:val="000000"/>
                <w:kern w:val="0"/>
                <w:sz w:val="20"/>
                <w:szCs w:val="20"/>
                <w:u w:val="none"/>
                <w:lang w:val="en-US" w:eastAsia="zh-CN" w:bidi="ar"/>
              </w:rPr>
              <w:t>520000  ± 528078.277a</w:t>
            </w:r>
          </w:p>
        </w:tc>
        <w:tc>
          <w:tcPr>
            <w:tcW w:w="15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lang w:val="en-US"/>
              </w:rPr>
            </w:pPr>
            <w:r>
              <w:rPr>
                <w:rFonts w:hint="default" w:ascii="Arial" w:hAnsi="Arial" w:eastAsia="SimSun" w:cs="Arial"/>
                <w:i w:val="0"/>
                <w:iCs w:val="0"/>
                <w:color w:val="000000"/>
                <w:kern w:val="0"/>
                <w:sz w:val="20"/>
                <w:szCs w:val="20"/>
                <w:u w:val="none"/>
                <w:lang w:val="en-US" w:eastAsia="zh-CN" w:bidi="ar"/>
              </w:rPr>
              <w:t>718100    ± 1191894.196a</w:t>
            </w:r>
          </w:p>
        </w:tc>
        <w:tc>
          <w:tcPr>
            <w:tcW w:w="14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lang w:val="en-US"/>
              </w:rPr>
            </w:pPr>
            <w:r>
              <w:rPr>
                <w:rFonts w:hint="default" w:ascii="Arial" w:hAnsi="Arial" w:eastAsia="SimSun" w:cs="Arial"/>
                <w:i w:val="0"/>
                <w:iCs w:val="0"/>
                <w:color w:val="000000"/>
                <w:kern w:val="0"/>
                <w:sz w:val="20"/>
                <w:szCs w:val="20"/>
                <w:u w:val="none"/>
                <w:lang w:val="en-US" w:eastAsia="zh-CN" w:bidi="ar"/>
              </w:rPr>
              <w:t>15  ± 17.321b</w:t>
            </w:r>
          </w:p>
        </w:tc>
        <w:tc>
          <w:tcPr>
            <w:tcW w:w="14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lang w:val="en-US"/>
              </w:rPr>
            </w:pPr>
            <w:r>
              <w:rPr>
                <w:rFonts w:hint="default" w:ascii="Arial" w:hAnsi="Arial" w:eastAsia="SimSun" w:cs="Arial"/>
                <w:i w:val="0"/>
                <w:iCs w:val="0"/>
                <w:color w:val="000000"/>
                <w:kern w:val="0"/>
                <w:sz w:val="20"/>
                <w:szCs w:val="20"/>
                <w:u w:val="none"/>
                <w:lang w:val="en-US" w:eastAsia="zh-CN" w:bidi="ar"/>
              </w:rPr>
              <w:t>15 ± 19.149b</w:t>
            </w:r>
          </w:p>
        </w:tc>
        <w:tc>
          <w:tcPr>
            <w:tcW w:w="13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i w:val="0"/>
                <w:iCs w:val="0"/>
                <w:color w:val="000000"/>
                <w:sz w:val="20"/>
                <w:szCs w:val="20"/>
                <w:u w:val="none"/>
                <w:lang w:val="en-US"/>
              </w:rPr>
            </w:pPr>
            <w:r>
              <w:rPr>
                <w:rFonts w:hint="default" w:ascii="Arial" w:hAnsi="Arial" w:eastAsia="SimSun" w:cs="Arial"/>
                <w:i w:val="0"/>
                <w:iCs w:val="0"/>
                <w:color w:val="000000"/>
                <w:kern w:val="0"/>
                <w:sz w:val="20"/>
                <w:szCs w:val="20"/>
                <w:u w:val="none"/>
                <w:lang w:val="en-US" w:eastAsia="zh-CN" w:bidi="ar"/>
              </w:rPr>
              <w:t>2.50  ± 5.0b</w:t>
            </w:r>
          </w:p>
        </w:tc>
      </w:tr>
    </w:tbl>
    <w:p>
      <w:pPr>
        <w:ind w:right="-1092" w:rightChars="-546"/>
        <w:jc w:val="both"/>
      </w:pPr>
    </w:p>
    <w:p>
      <w:pPr>
        <w:ind w:right="-1092" w:rightChars="-546"/>
        <w:jc w:val="both"/>
      </w:pPr>
    </w:p>
    <w:p>
      <w:pPr>
        <w:ind w:right="-1092" w:rightChars="-546"/>
        <w:jc w:val="both"/>
      </w:pPr>
    </w:p>
    <w:p>
      <w:pPr>
        <w:ind w:right="-1092" w:rightChars="-546"/>
        <w:jc w:val="both"/>
        <w:rPr>
          <w:rFonts w:hint="default" w:ascii="Arial" w:hAnsi="Arial" w:cs="Arial"/>
          <w:sz w:val="24"/>
          <w:szCs w:val="24"/>
          <w:lang w:val="en-US"/>
        </w:rPr>
      </w:pPr>
      <w:r>
        <w:rPr>
          <w:rFonts w:hint="default" w:ascii="Arial" w:hAnsi="Arial" w:cs="Arial"/>
          <w:sz w:val="24"/>
          <w:szCs w:val="24"/>
          <w:lang w:val="en-US"/>
        </w:rPr>
        <w:t>Tabel 77  : Hasil Uji Beda Lanjut Mann-Whitney dan Notasi</w:t>
      </w:r>
    </w:p>
    <w:p>
      <w:pPr>
        <w:ind w:right="-1092" w:rightChars="-546"/>
        <w:jc w:val="both"/>
      </w:pPr>
    </w:p>
    <w:p>
      <w:pPr>
        <w:ind w:right="-1092" w:rightChars="-546"/>
        <w:jc w:val="both"/>
      </w:pPr>
    </w:p>
    <w:tbl>
      <w:tblPr>
        <w:tblStyle w:val="3"/>
        <w:tblW w:w="8302" w:type="dxa"/>
        <w:tblInd w:w="9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360"/>
        <w:gridCol w:w="888"/>
        <w:gridCol w:w="1308"/>
        <w:gridCol w:w="1661"/>
        <w:gridCol w:w="30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05" w:hRule="atLeast"/>
        </w:trPr>
        <w:tc>
          <w:tcPr>
            <w:tcW w:w="3556" w:type="dxa"/>
            <w:gridSpan w:val="3"/>
            <w:tcBorders>
              <w:tl2br w:val="nil"/>
              <w:tr2bl w:val="nil"/>
            </w:tcBorders>
            <w:shd w:val="clear" w:color="auto" w:fill="auto"/>
            <w:noWrap/>
            <w:vAlign w:val="center"/>
          </w:tcPr>
          <w:p>
            <w:pPr>
              <w:jc w:val="center"/>
              <w:rPr>
                <w:rFonts w:hint="default" w:ascii="Arial" w:hAnsi="Arial" w:cs="Arial"/>
                <w:i w:val="0"/>
                <w:iCs w:val="0"/>
                <w:color w:val="000000"/>
                <w:sz w:val="22"/>
                <w:szCs w:val="22"/>
                <w:u w:val="none"/>
              </w:rPr>
            </w:pPr>
            <w:r>
              <w:rPr>
                <w:rFonts w:hint="default" w:ascii="Arial" w:hAnsi="Arial" w:cs="Arial"/>
                <w:i w:val="0"/>
                <w:iCs w:val="0"/>
                <w:color w:val="000000"/>
                <w:sz w:val="22"/>
                <w:szCs w:val="22"/>
                <w:u w:val="none"/>
                <w:lang w:val="en-US"/>
              </w:rPr>
              <w:t>Notasi</w:t>
            </w:r>
          </w:p>
        </w:tc>
        <w:tc>
          <w:tcPr>
            <w:tcW w:w="166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Hasil Uji Lanjut Mann Whitney</w:t>
            </w:r>
          </w:p>
        </w:tc>
        <w:tc>
          <w:tcPr>
            <w:tcW w:w="3085"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Kesimpulan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20_kGy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468</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tidak 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30_kGy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.019</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40_kGy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.020</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50_kGy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.018</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ind w:right="-1092" w:rightChars="-546"/>
              <w:jc w:val="left"/>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20_kGy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30_kGy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.019</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ind w:right="-1092" w:rightChars="-546"/>
              <w:jc w:val="left"/>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20_kGy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40_kGy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.020</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ind w:right="-1092" w:rightChars="-546"/>
              <w:jc w:val="left"/>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20_kGy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50_kGy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.018</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30_kGy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40_kGy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rPr>
              <w:t>1.000</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rPr>
            </w:pPr>
            <w:r>
              <w:rPr>
                <w:rFonts w:hint="default" w:ascii="Arial" w:hAnsi="Arial" w:cs="Arial"/>
                <w:sz w:val="22"/>
                <w:szCs w:val="22"/>
                <w:lang w:val="en-US"/>
              </w:rPr>
              <w:t>tidak 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30_kGy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50_kGy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.317</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tidak berbeda nyata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5" w:hRule="atLeast"/>
        </w:trPr>
        <w:tc>
          <w:tcPr>
            <w:tcW w:w="1360"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40_kGy</w:t>
            </w:r>
          </w:p>
        </w:tc>
        <w:tc>
          <w:tcPr>
            <w:tcW w:w="88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w:t>
            </w:r>
          </w:p>
        </w:tc>
        <w:tc>
          <w:tcPr>
            <w:tcW w:w="1308" w:type="dxa"/>
            <w:tcBorders>
              <w:tl2br w:val="nil"/>
              <w:tr2bl w:val="nil"/>
            </w:tcBorders>
            <w:shd w:val="clear" w:color="auto" w:fill="auto"/>
            <w:noWrap/>
            <w:vAlign w:val="center"/>
          </w:tcPr>
          <w:p>
            <w:pPr>
              <w:keepNext w:val="0"/>
              <w:keepLines w:val="0"/>
              <w:widowControl/>
              <w:suppressLineNumbers w:val="0"/>
              <w:ind w:right="-1092" w:rightChars="-546"/>
              <w:jc w:val="both"/>
              <w:textAlignment w:val="center"/>
              <w:rPr>
                <w:rFonts w:hint="default" w:ascii="Arial" w:hAnsi="Arial" w:cs="Arial"/>
                <w:i w:val="0"/>
                <w:iCs w:val="0"/>
                <w:color w:val="000000"/>
                <w:sz w:val="22"/>
                <w:szCs w:val="22"/>
                <w:u w:val="none"/>
              </w:rPr>
            </w:pPr>
            <w:r>
              <w:rPr>
                <w:rFonts w:hint="default" w:ascii="Arial" w:hAnsi="Arial" w:eastAsia="SimSun" w:cs="Arial"/>
                <w:i w:val="0"/>
                <w:iCs w:val="0"/>
                <w:color w:val="000000"/>
                <w:kern w:val="0"/>
                <w:sz w:val="22"/>
                <w:szCs w:val="22"/>
                <w:u w:val="none"/>
                <w:lang w:val="en-US" w:eastAsia="zh-CN" w:bidi="ar"/>
              </w:rPr>
              <w:t>50_kGy</w:t>
            </w:r>
          </w:p>
        </w:tc>
        <w:tc>
          <w:tcPr>
            <w:tcW w:w="16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Fonts w:hint="default" w:ascii="Arial" w:hAnsi="Arial" w:cs="Arial"/>
                <w:color w:val="010205"/>
                <w:sz w:val="22"/>
                <w:szCs w:val="22"/>
                <w:lang w:val="en-US"/>
              </w:rPr>
              <w:t>0</w:t>
            </w:r>
            <w:r>
              <w:rPr>
                <w:rFonts w:hint="default" w:ascii="Arial" w:hAnsi="Arial" w:cs="Arial"/>
                <w:color w:val="010205"/>
                <w:sz w:val="22"/>
                <w:szCs w:val="22"/>
              </w:rPr>
              <w:t>.321</w:t>
            </w:r>
          </w:p>
        </w:tc>
        <w:tc>
          <w:tcPr>
            <w:tcW w:w="3085"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Arial" w:hAnsi="Arial" w:cs="Arial"/>
                <w:color w:val="010205"/>
                <w:sz w:val="22"/>
                <w:szCs w:val="22"/>
                <w:lang w:val="en-US"/>
              </w:rPr>
            </w:pPr>
            <w:r>
              <w:rPr>
                <w:rFonts w:hint="default" w:ascii="Arial" w:hAnsi="Arial" w:cs="Arial"/>
                <w:sz w:val="22"/>
                <w:szCs w:val="22"/>
                <w:lang w:val="en-US"/>
              </w:rPr>
              <w:t>tidak berbeda nyata</w:t>
            </w:r>
          </w:p>
        </w:tc>
      </w:tr>
    </w:tbl>
    <w:p>
      <w:pPr>
        <w:ind w:right="-1092" w:rightChars="-546"/>
        <w:jc w:val="both"/>
      </w:pPr>
    </w:p>
    <w:p>
      <w:pPr>
        <w:ind w:right="-1092" w:rightChars="-546"/>
        <w:jc w:val="both"/>
      </w:pPr>
    </w:p>
    <w:p>
      <w:pPr>
        <w:ind w:right="104" w:rightChars="52"/>
        <w:jc w:val="both"/>
        <w:rPr>
          <w:rFonts w:hint="default" w:ascii="Arial" w:hAnsi="Arial" w:cs="Arial"/>
          <w:sz w:val="24"/>
          <w:szCs w:val="24"/>
          <w:lang w:val="en-US"/>
        </w:rPr>
      </w:pPr>
      <w:r>
        <w:rPr>
          <w:rFonts w:hint="default" w:ascii="Arial" w:hAnsi="Arial" w:cs="Arial"/>
          <w:sz w:val="24"/>
          <w:szCs w:val="24"/>
          <w:lang w:val="en-US"/>
        </w:rPr>
        <w:t>Hasil dari Uji Mann-Whitney menunjukkan bahwa Dosis Iradiasi tidak berbeda nyata (P&gt;0,05) pada  0_kGy dan 20_kGy, 30_kGy dan 40_kGy, 30_kGy dan 50_kGy, 40_kGy dan 50_kGy dalam menurunkan Total Bakteri Umum. Namun terdapat perbedaan nyata (P&lt;0,05) pada 0_kGy dan 30_kGy, 0_kGy dan 40_kGy, 0_kGy dan 50_kGy, 20_kGy dan 30_kGy, 20_kGy dan 40_kGy, 20_kGy dan 50_kGy dalam menurunkan Total Bakteri Umum.</w:t>
      </w:r>
    </w:p>
    <w:p>
      <w:pPr>
        <w:ind w:right="104" w:rightChars="52"/>
        <w:jc w:val="both"/>
        <w:rPr>
          <w:rFonts w:hint="default" w:ascii="Arial" w:hAnsi="Arial" w:cs="Arial"/>
          <w:sz w:val="24"/>
          <w:szCs w:val="24"/>
          <w:lang w:val="en-US"/>
        </w:rPr>
      </w:pPr>
    </w:p>
    <w:p>
      <w:pPr>
        <w:ind w:right="104" w:rightChars="52"/>
        <w:jc w:val="both"/>
        <w:rPr>
          <w:rFonts w:hint="default" w:ascii="Arial" w:hAnsi="Arial" w:cs="Arial"/>
          <w:sz w:val="24"/>
          <w:szCs w:val="24"/>
          <w:lang w:val="en-US"/>
        </w:rPr>
      </w:pPr>
      <w:r>
        <w:rPr>
          <w:rFonts w:hint="default" w:ascii="Arial" w:hAnsi="Arial" w:cs="Arial"/>
          <w:sz w:val="24"/>
          <w:szCs w:val="24"/>
          <w:lang w:val="en-US"/>
        </w:rPr>
        <w:t>Berdasarkan analisa univariate mengenai rata-rata Total Bakteri Umum (TBU) menunjukkan bahwa dosis perlakuan yang paling efektif dalam menurunkan Total Bakteri Umum pada Dosis 50 kGy, secara grafis dapat dilihat pada gambar di bawah ini.</w:t>
      </w:r>
    </w:p>
    <w:p>
      <w:pPr>
        <w:ind w:right="104" w:rightChars="52"/>
        <w:jc w:val="both"/>
        <w:rPr>
          <w:rFonts w:hint="default" w:ascii="Arial" w:hAnsi="Arial" w:cs="Arial"/>
          <w:sz w:val="24"/>
          <w:szCs w:val="24"/>
          <w:lang w:val="en-US"/>
        </w:rPr>
      </w:pPr>
    </w:p>
    <w:p>
      <w:pPr>
        <w:ind w:right="-494" w:rightChars="-247"/>
        <w:jc w:val="both"/>
        <w:rPr>
          <w:rFonts w:hint="default" w:ascii="Arial" w:hAnsi="Arial" w:cs="Arial"/>
          <w:sz w:val="24"/>
          <w:szCs w:val="24"/>
        </w:rPr>
      </w:pPr>
      <w:r>
        <w:drawing>
          <wp:inline distT="0" distB="0" distL="114300" distR="114300">
            <wp:extent cx="5158740" cy="2962275"/>
            <wp:effectExtent l="4445" t="4445" r="5715" b="508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both"/>
        <w:rPr>
          <w:rFonts w:hint="default" w:ascii="Arial" w:hAnsi="Arial" w:cs="Arial"/>
          <w:sz w:val="24"/>
          <w:szCs w:val="24"/>
        </w:rPr>
      </w:pPr>
    </w:p>
    <w:p>
      <w:pPr>
        <w:jc w:val="both"/>
        <w:rPr>
          <w:rFonts w:hint="default" w:ascii="Arial" w:hAnsi="Arial" w:cs="Arial"/>
          <w:sz w:val="24"/>
          <w:szCs w:val="24"/>
          <w:lang w:val="en-US"/>
        </w:rPr>
      </w:pPr>
      <w:r>
        <w:rPr>
          <w:rFonts w:hint="default" w:ascii="Arial" w:hAnsi="Arial" w:cs="Arial"/>
          <w:sz w:val="24"/>
          <w:szCs w:val="24"/>
          <w:lang w:val="en-US"/>
        </w:rPr>
        <w:t>Gambar 99 : Rata-Rata Total Bakteri Umum Dosis Iradiasi Perlakuan</w:t>
      </w:r>
    </w:p>
    <w:p>
      <w:pPr>
        <w:jc w:val="both"/>
        <w:rPr>
          <w:rFonts w:hint="default" w:ascii="Arial" w:hAnsi="Arial" w:cs="Arial"/>
          <w:sz w:val="24"/>
          <w:szCs w:val="24"/>
        </w:rPr>
      </w:pPr>
    </w:p>
    <w:p>
      <w:pPr>
        <w:jc w:val="both"/>
        <w:rPr>
          <w:rFonts w:hint="default" w:ascii="Arial" w:hAnsi="Arial" w:cs="Arial"/>
          <w:sz w:val="24"/>
          <w:szCs w:val="24"/>
          <w:lang w:val="en-US"/>
        </w:rPr>
      </w:pPr>
      <w:r>
        <w:rPr>
          <w:rFonts w:hint="default" w:ascii="Arial" w:hAnsi="Arial" w:cs="Arial"/>
          <w:sz w:val="24"/>
          <w:szCs w:val="24"/>
          <w:lang w:val="en-US"/>
        </w:rPr>
        <w:t>Berdasarkan gambar di atas bahwa rata-rata Total Bakteri Umum yang terbanyak pada dosis 20 kGy, sedangkan rata-rata Total Bakteri Umum terendah pada Dosis 50 kGy.</w:t>
      </w:r>
    </w:p>
    <w:p>
      <w:pPr>
        <w:jc w:val="both"/>
        <w:rPr>
          <w:rFonts w:hint="default" w:ascii="Arial" w:hAnsi="Arial" w:cs="Arial"/>
          <w:sz w:val="24"/>
          <w:szCs w:val="24"/>
          <w:lang w:val="en-US"/>
        </w:rPr>
      </w:pPr>
    </w:p>
    <w:p>
      <w:pPr>
        <w:jc w:val="both"/>
        <w:rPr>
          <w:rFonts w:hint="default" w:ascii="Arial" w:hAnsi="Arial" w:cs="Arial"/>
          <w:sz w:val="24"/>
          <w:szCs w:val="24"/>
          <w:lang w:val="en-US"/>
        </w:rPr>
      </w:pPr>
      <w:r>
        <w:rPr>
          <w:rFonts w:hint="default" w:ascii="Arial" w:hAnsi="Arial" w:cs="Arial"/>
          <w:sz w:val="24"/>
          <w:szCs w:val="24"/>
          <w:lang w:val="en-US"/>
        </w:rPr>
        <w:t>Menurut Peraturan Menteri Kesehatan Republik Indonesia Nomor 701/MENKES/PER/VIII/2009, tentang Pangan Iradiasi, menyebutkan bahwa pangan olahan siap saji berbasis hewani batas kGy adalah sebesar 65. Sehingga pada penelitian ini masih dibawah ketentuan di atas.</w:t>
      </w:r>
    </w:p>
    <w:p>
      <w:pPr>
        <w:jc w:val="both"/>
        <w:rPr>
          <w:rFonts w:hint="default" w:ascii="Arial" w:hAnsi="Arial" w:cs="Arial"/>
          <w:sz w:val="24"/>
          <w:szCs w:val="24"/>
        </w:rPr>
      </w:pPr>
    </w:p>
    <w:p>
      <w:pPr>
        <w:keepNext w:val="0"/>
        <w:keepLines w:val="0"/>
        <w:widowControl/>
        <w:suppressLineNumbers w:val="0"/>
        <w:jc w:val="both"/>
        <w:rPr>
          <w:rFonts w:hint="default" w:ascii="Arial" w:hAnsi="Arial" w:cs="Arial"/>
          <w:sz w:val="24"/>
          <w:szCs w:val="24"/>
        </w:rPr>
      </w:pPr>
      <w:r>
        <w:rPr>
          <w:rFonts w:hint="default" w:ascii="Arial" w:hAnsi="Arial" w:eastAsia="Bookman Old Style" w:cs="Arial"/>
          <w:color w:val="000000"/>
          <w:kern w:val="0"/>
          <w:sz w:val="24"/>
          <w:szCs w:val="24"/>
          <w:lang w:val="en-US" w:eastAsia="zh-CN" w:bidi="ar"/>
        </w:rPr>
        <w:t>Peraturan Badan Pengawas Obat dan Makanan Nomor 13 tahun 2019 tentang batas maksimal cemaran mikroba dalam pangan olahan, menyebutkan bahwa Ikan dan Produk Perikanan Kukus atau Rebus, parameter uji mikroba ALT, nilai n 5, nilai  c 2, nilai m 104 koloni/g, nilai M 10</w:t>
      </w:r>
      <w:r>
        <w:rPr>
          <w:rFonts w:hint="default" w:ascii="Arial" w:hAnsi="Arial" w:eastAsia="Bookman Old Style" w:cs="Arial"/>
          <w:color w:val="000000"/>
          <w:kern w:val="0"/>
          <w:sz w:val="24"/>
          <w:szCs w:val="24"/>
          <w:vertAlign w:val="superscript"/>
          <w:lang w:val="en-US" w:eastAsia="zh-CN" w:bidi="ar"/>
        </w:rPr>
        <w:t>5</w:t>
      </w:r>
      <w:r>
        <w:rPr>
          <w:rFonts w:hint="default" w:ascii="Arial" w:hAnsi="Arial" w:eastAsia="Bookman Old Style" w:cs="Arial"/>
          <w:color w:val="000000"/>
          <w:kern w:val="0"/>
          <w:sz w:val="24"/>
          <w:szCs w:val="24"/>
          <w:lang w:val="en-US" w:eastAsia="zh-CN" w:bidi="ar"/>
        </w:rPr>
        <w:t xml:space="preserve"> koloni/g, dengan Metoda Analisis sesuai ISO 4833-1 dan SNI 2332-3. </w:t>
      </w:r>
    </w:p>
    <w:p>
      <w:pPr>
        <w:jc w:val="both"/>
        <w:rPr>
          <w:rFonts w:hint="default" w:ascii="Arial" w:hAnsi="Arial" w:cs="Arial"/>
          <w:sz w:val="24"/>
          <w:szCs w:val="24"/>
        </w:rPr>
      </w:pPr>
    </w:p>
    <w:p>
      <w:pPr>
        <w:jc w:val="both"/>
        <w:rPr>
          <w:rStyle w:val="4"/>
          <w:rFonts w:hint="default" w:ascii="Arial" w:hAnsi="Arial" w:eastAsia="SimSun" w:cs="Arial"/>
          <w:sz w:val="24"/>
          <w:szCs w:val="24"/>
          <w:lang w:val="en-US" w:eastAsia="zh-CN" w:bidi="ar"/>
        </w:rPr>
      </w:pPr>
      <w:r>
        <w:rPr>
          <w:rFonts w:hint="default" w:ascii="Arial" w:hAnsi="Arial" w:cs="Arial"/>
          <w:sz w:val="24"/>
          <w:szCs w:val="24"/>
          <w:lang w:val="en-US"/>
        </w:rPr>
        <w:t xml:space="preserve">Hasil Total Bakteri Umum (TBU) pada penelitian pada Dosis 30 kGy didapat </w:t>
      </w:r>
      <w:r>
        <w:rPr>
          <w:rStyle w:val="4"/>
          <w:rFonts w:hint="default" w:ascii="Arial" w:hAnsi="Arial" w:eastAsia="SimSun" w:cs="Arial"/>
          <w:sz w:val="24"/>
          <w:szCs w:val="24"/>
          <w:lang w:val="en-US" w:eastAsia="zh-CN" w:bidi="ar"/>
        </w:rPr>
        <w:t>1.5X10</w:t>
      </w:r>
      <w:r>
        <w:rPr>
          <w:rStyle w:val="5"/>
          <w:rFonts w:hint="default" w:ascii="Arial" w:hAnsi="Arial" w:eastAsia="SimSun" w:cs="Arial"/>
          <w:sz w:val="24"/>
          <w:szCs w:val="24"/>
          <w:lang w:val="en-US" w:eastAsia="zh-CN" w:bidi="ar"/>
        </w:rPr>
        <w:t>1</w:t>
      </w:r>
      <w:r>
        <w:rPr>
          <w:rStyle w:val="4"/>
          <w:rFonts w:hint="default" w:ascii="Arial" w:hAnsi="Arial" w:eastAsia="SimSun" w:cs="Arial"/>
          <w:sz w:val="24"/>
          <w:szCs w:val="24"/>
          <w:lang w:val="en-US" w:eastAsia="zh-CN" w:bidi="ar"/>
        </w:rPr>
        <w:t xml:space="preserve"> , pada Dosis 40 Kgy angka TBU sebesar 1.5X10</w:t>
      </w:r>
      <w:r>
        <w:rPr>
          <w:rStyle w:val="5"/>
          <w:rFonts w:hint="default" w:ascii="Arial" w:hAnsi="Arial" w:eastAsia="SimSun" w:cs="Arial"/>
          <w:sz w:val="24"/>
          <w:szCs w:val="24"/>
          <w:lang w:val="en-US" w:eastAsia="zh-CN" w:bidi="ar"/>
        </w:rPr>
        <w:t>1</w:t>
      </w:r>
      <w:r>
        <w:rPr>
          <w:rStyle w:val="4"/>
          <w:rFonts w:hint="default" w:ascii="Arial" w:hAnsi="Arial" w:eastAsia="SimSun" w:cs="Arial"/>
          <w:sz w:val="24"/>
          <w:szCs w:val="24"/>
          <w:lang w:val="en-US" w:eastAsia="zh-CN" w:bidi="ar"/>
        </w:rPr>
        <w:t xml:space="preserve"> , dan pada dosis 50 kGy didapat TBU sebesar 0.25X10</w:t>
      </w:r>
      <w:r>
        <w:rPr>
          <w:rStyle w:val="5"/>
          <w:rFonts w:hint="default" w:ascii="Arial" w:hAnsi="Arial" w:eastAsia="SimSun" w:cs="Arial"/>
          <w:sz w:val="24"/>
          <w:szCs w:val="24"/>
          <w:lang w:val="en-US" w:eastAsia="zh-CN" w:bidi="ar"/>
        </w:rPr>
        <w:t>1</w:t>
      </w:r>
      <w:r>
        <w:rPr>
          <w:rStyle w:val="4"/>
          <w:rFonts w:hint="default" w:ascii="Arial" w:hAnsi="Arial" w:eastAsia="SimSun" w:cs="Arial"/>
          <w:sz w:val="24"/>
          <w:szCs w:val="24"/>
          <w:lang w:val="en-US" w:eastAsia="zh-CN" w:bidi="ar"/>
        </w:rPr>
        <w:t xml:space="preserve"> . Sehingga dapat disimpulkan bahwa batas maksimal TBU masih dibawah angka maksimal sesuai </w:t>
      </w:r>
      <w:r>
        <w:rPr>
          <w:rFonts w:hint="default" w:ascii="Arial" w:hAnsi="Arial" w:eastAsia="Bookman Old Style" w:cs="Arial"/>
          <w:color w:val="000000"/>
          <w:kern w:val="0"/>
          <w:sz w:val="24"/>
          <w:szCs w:val="24"/>
          <w:lang w:val="en-US" w:eastAsia="zh-CN" w:bidi="ar"/>
        </w:rPr>
        <w:t>Peraturan Badan Pengawas Obat dan Makanan Nomor 13 tahun 2019 sebesar 1 x 10</w:t>
      </w:r>
      <w:r>
        <w:rPr>
          <w:rFonts w:hint="default" w:ascii="Arial" w:hAnsi="Arial" w:eastAsia="Bookman Old Style" w:cs="Arial"/>
          <w:color w:val="000000"/>
          <w:kern w:val="0"/>
          <w:sz w:val="24"/>
          <w:szCs w:val="24"/>
          <w:vertAlign w:val="superscript"/>
          <w:lang w:val="en-US" w:eastAsia="zh-CN" w:bidi="ar"/>
        </w:rPr>
        <w:t>5.</w:t>
      </w:r>
      <w:r>
        <w:rPr>
          <w:rFonts w:hint="default" w:ascii="Arial" w:hAnsi="Arial" w:eastAsia="Bookman Old Style" w:cs="Arial"/>
          <w:color w:val="000000"/>
          <w:kern w:val="0"/>
          <w:sz w:val="24"/>
          <w:szCs w:val="24"/>
          <w:lang w:val="en-US" w:eastAsia="zh-CN" w:bidi="ar"/>
        </w:rPr>
        <w:t xml:space="preserve">        </w:t>
      </w: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p>
      <w:pPr>
        <w:jc w:val="both"/>
        <w:rPr>
          <w:rStyle w:val="4"/>
          <w:rFonts w:hint="default" w:ascii="Arial" w:hAnsi="Arial" w:eastAsia="SimSun" w:cs="Arial"/>
          <w:sz w:val="18"/>
          <w:szCs w:val="18"/>
          <w:lang w:val="en-US" w:eastAsia="zh-CN" w:bidi="ar"/>
        </w:rPr>
      </w:pPr>
    </w:p>
    <w:sectPr>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 w:name="Bodoni MT">
    <w:panose1 w:val="02070603080606020203"/>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E796C"/>
    <w:rsid w:val="029119C5"/>
    <w:rsid w:val="0DEB76BA"/>
    <w:rsid w:val="0E3A7313"/>
    <w:rsid w:val="15000600"/>
    <w:rsid w:val="176410EF"/>
    <w:rsid w:val="1A2972F9"/>
    <w:rsid w:val="33313F09"/>
    <w:rsid w:val="35CE796C"/>
    <w:rsid w:val="38FE7E8D"/>
    <w:rsid w:val="3B8B7C9A"/>
    <w:rsid w:val="3FD036BE"/>
    <w:rsid w:val="5B324C2A"/>
    <w:rsid w:val="5C3744D8"/>
    <w:rsid w:val="5ED73DCC"/>
    <w:rsid w:val="6E6A23B4"/>
    <w:rsid w:val="763E2DA1"/>
    <w:rsid w:val="771D09E5"/>
    <w:rsid w:val="7B7802C0"/>
    <w:rsid w:val="7EDF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font11"/>
    <w:qFormat/>
    <w:uiPriority w:val="0"/>
    <w:rPr>
      <w:rFonts w:hint="default" w:ascii="Calibri" w:hAnsi="Calibri" w:cs="Calibri"/>
      <w:color w:val="000000"/>
      <w:sz w:val="22"/>
      <w:szCs w:val="22"/>
      <w:u w:val="none"/>
    </w:rPr>
  </w:style>
  <w:style w:type="character" w:customStyle="1" w:styleId="5">
    <w:name w:val="font21"/>
    <w:qFormat/>
    <w:uiPriority w:val="0"/>
    <w:rPr>
      <w:rFonts w:hint="default" w:ascii="Calibri" w:hAnsi="Calibri" w:cs="Calibri"/>
      <w:color w:val="000000"/>
      <w:sz w:val="22"/>
      <w:szCs w:val="22"/>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PAK_HADI\DATA_TAHAP_II\DATA_IRADIASI_BAKTE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[DATA_IRADIASI_BAKTERI.xlsx]Sheet1!$D$5</c:f>
              <c:strCache>
                <c:ptCount val="1"/>
                <c:pt idx="0">
                  <c:v>TBU</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0.0111111111111111"/>
                  <c:y val="-0.06481481481481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72222222222222"/>
                  <c:y val="-0.05555555555555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61111111111111"/>
                  <c:y val="-0.07407407407407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[DATA_IRADIASI_BAKTERI.xlsx]Sheet1!$E$4:$I$4</c:f>
              <c:strCache>
                <c:ptCount val="5"/>
                <c:pt idx="0">
                  <c:v>0_kGy</c:v>
                </c:pt>
                <c:pt idx="1">
                  <c:v>20_kGy</c:v>
                </c:pt>
                <c:pt idx="2">
                  <c:v>30_kGy</c:v>
                </c:pt>
                <c:pt idx="3">
                  <c:v>40_kGy</c:v>
                </c:pt>
                <c:pt idx="4">
                  <c:v>50_kGy</c:v>
                </c:pt>
              </c:strCache>
            </c:strRef>
          </c:cat>
          <c:val>
            <c:numRef>
              <c:f>[DATA_IRADIASI_BAKTERI.xlsx]Sheet1!$E$5:$I$5</c:f>
              <c:numCache>
                <c:formatCode>General</c:formatCode>
                <c:ptCount val="5"/>
                <c:pt idx="0">
                  <c:v>520000</c:v>
                </c:pt>
                <c:pt idx="1">
                  <c:v>718100</c:v>
                </c:pt>
                <c:pt idx="2">
                  <c:v>15</c:v>
                </c:pt>
                <c:pt idx="3">
                  <c:v>15</c:v>
                </c:pt>
                <c:pt idx="4">
                  <c:v>2.5</c:v>
                </c:pt>
              </c:numCache>
            </c:numRef>
          </c:val>
          <c:smooth val="0"/>
        </c:ser>
        <c:dLbls>
          <c:showLegendKey val="0"/>
          <c:showVal val="1"/>
          <c:showCatName val="0"/>
          <c:showSerName val="0"/>
          <c:showPercent val="0"/>
          <c:showBubbleSize val="0"/>
        </c:dLbls>
        <c:marker val="1"/>
        <c:smooth val="0"/>
        <c:axId val="527193710"/>
        <c:axId val="711440888"/>
      </c:lineChart>
      <c:catAx>
        <c:axId val="5271937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711440888"/>
        <c:crosses val="autoZero"/>
        <c:auto val="1"/>
        <c:lblAlgn val="ctr"/>
        <c:lblOffset val="100"/>
        <c:noMultiLvlLbl val="0"/>
      </c:catAx>
      <c:valAx>
        <c:axId val="711440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271937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2022-11-08T14:49:00Z</dcterms:created>
  <dc:creator>POLTEKKES ACEH</dc:creator>
  <cp:lastModifiedBy>ampera miko</cp:lastModifiedBy>
  <dcterms:modified xsi:type="dcterms:W3CDTF">2022-11-09T05:31:13Z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A5B783948407404291102018A7EB3C72</vt:lpwstr>
  </property>
</Properties>
</file>