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7AF6" w14:textId="77777777" w:rsidR="00244D84" w:rsidRPr="00AE2391" w:rsidRDefault="00AE2391">
      <w:pPr>
        <w:pStyle w:val="Heading1"/>
        <w:spacing w:before="0"/>
        <w:rPr>
          <w:rFonts w:ascii="Cambria" w:eastAsia="Cambria" w:hAnsi="Cambria" w:cs="Cambria"/>
          <w:b/>
          <w:color w:val="000000"/>
          <w:sz w:val="30"/>
          <w:szCs w:val="30"/>
        </w:rPr>
      </w:pPr>
      <w:r w:rsidRPr="00AE2391">
        <w:rPr>
          <w:rFonts w:ascii="Cambria" w:hAnsi="Cambria" w:cstheme="minorHAnsi"/>
          <w:b/>
          <w:bCs/>
          <w:color w:val="0D0D0D" w:themeColor="text1" w:themeTint="F2"/>
          <w:sz w:val="28"/>
          <w:szCs w:val="28"/>
          <w:lang w:val="id-ID"/>
        </w:rPr>
        <w:t>Pengaruh Pemberian Tepung Sorgum (</w:t>
      </w:r>
      <w:r w:rsidRPr="00AE2391">
        <w:rPr>
          <w:rFonts w:ascii="Cambria" w:hAnsi="Cambria" w:cstheme="minorHAnsi"/>
          <w:b/>
          <w:bCs/>
          <w:i/>
          <w:iCs/>
          <w:color w:val="0D0D0D" w:themeColor="text1" w:themeTint="F2"/>
          <w:sz w:val="28"/>
          <w:szCs w:val="28"/>
          <w:lang w:val="id-ID"/>
        </w:rPr>
        <w:t xml:space="preserve">Sorghum bicolor L. </w:t>
      </w:r>
      <w:r w:rsidRPr="00AE2391">
        <w:rPr>
          <w:rFonts w:ascii="Cambria" w:hAnsi="Cambria" w:cstheme="minorHAnsi"/>
          <w:b/>
          <w:bCs/>
          <w:color w:val="0D0D0D" w:themeColor="text1" w:themeTint="F2"/>
          <w:sz w:val="28"/>
          <w:szCs w:val="28"/>
          <w:lang w:val="id-ID"/>
        </w:rPr>
        <w:t>Moench) Terhadap Profil Lipid dan Nilai Indeks Aterogenik pada Tikus Diabetes</w:t>
      </w:r>
      <w:r w:rsidRPr="00AE2391">
        <w:rPr>
          <w:rFonts w:ascii="Cambria" w:hAnsi="Cambria" w:cstheme="minorHAnsi"/>
          <w:b/>
          <w:bCs/>
          <w:color w:val="0D0D0D" w:themeColor="text1" w:themeTint="F2"/>
          <w:sz w:val="28"/>
          <w:szCs w:val="28"/>
        </w:rPr>
        <w:t xml:space="preserve"> Mellitus</w:t>
      </w:r>
    </w:p>
    <w:p w14:paraId="31A14C53" w14:textId="4AD5F9C8" w:rsidR="00AE2391" w:rsidRDefault="00AE2391">
      <w:pPr>
        <w:spacing w:after="0"/>
        <w:rPr>
          <w:rFonts w:ascii="Cambria" w:hAnsi="Cambria" w:cstheme="minorHAnsi"/>
          <w:i/>
          <w:iCs/>
          <w:sz w:val="28"/>
          <w:szCs w:val="28"/>
          <w:lang w:val="id-ID"/>
        </w:rPr>
      </w:pPr>
      <w:r w:rsidRPr="00AE2391">
        <w:rPr>
          <w:rFonts w:ascii="Cambria" w:hAnsi="Cambria" w:cstheme="minorHAnsi"/>
          <w:i/>
          <w:iCs/>
          <w:sz w:val="28"/>
          <w:szCs w:val="28"/>
          <w:lang w:val="id-ID"/>
        </w:rPr>
        <w:t>Effects of Sorghum (Sorghum bicolor L. Moench) Flour on Lipid Profile and the Atherogenic Index of Plasma in Diabetic Rats</w:t>
      </w:r>
    </w:p>
    <w:p w14:paraId="0DDC5CA1" w14:textId="77777777" w:rsidR="005D7310" w:rsidRPr="005D7310" w:rsidRDefault="005D7310">
      <w:pPr>
        <w:spacing w:after="0"/>
        <w:rPr>
          <w:rFonts w:ascii="Cambria" w:hAnsi="Cambria" w:cstheme="minorHAnsi"/>
          <w:i/>
          <w:iCs/>
          <w:sz w:val="28"/>
          <w:szCs w:val="28"/>
          <w:lang w:val="id-ID"/>
        </w:rPr>
      </w:pPr>
    </w:p>
    <w:p w14:paraId="13F9D835" w14:textId="77777777" w:rsidR="00244D84" w:rsidRPr="00AE2391" w:rsidRDefault="00AE2391">
      <w:pPr>
        <w:pBdr>
          <w:top w:val="nil"/>
          <w:left w:val="nil"/>
          <w:bottom w:val="nil"/>
          <w:right w:val="nil"/>
          <w:between w:val="nil"/>
        </w:pBdr>
        <w:spacing w:after="0" w:line="276" w:lineRule="auto"/>
        <w:rPr>
          <w:rFonts w:ascii="Cambria" w:eastAsia="Cambria" w:hAnsi="Cambria" w:cs="Cambria"/>
          <w:color w:val="000000"/>
          <w:sz w:val="26"/>
          <w:szCs w:val="26"/>
        </w:rPr>
      </w:pPr>
      <w:r w:rsidRPr="00F8313C">
        <w:rPr>
          <w:rFonts w:ascii="Cambria" w:hAnsi="Cambria" w:cstheme="minorHAnsi"/>
          <w:sz w:val="26"/>
          <w:szCs w:val="26"/>
          <w:lang w:val="id-ID"/>
        </w:rPr>
        <w:t>Dewi Setyowati</w:t>
      </w:r>
      <w:r w:rsidRPr="00F8313C">
        <w:rPr>
          <w:rFonts w:ascii="Cambria" w:hAnsi="Cambria" w:cstheme="minorHAnsi"/>
          <w:sz w:val="26"/>
          <w:szCs w:val="26"/>
          <w:vertAlign w:val="superscript"/>
          <w:lang w:val="id-ID"/>
        </w:rPr>
        <w:t>1</w:t>
      </w:r>
      <w:r w:rsidRPr="00F8313C">
        <w:rPr>
          <w:rFonts w:ascii="Cambria" w:hAnsi="Cambria" w:cstheme="minorHAnsi"/>
          <w:sz w:val="26"/>
          <w:szCs w:val="26"/>
          <w:lang w:val="id-ID"/>
        </w:rPr>
        <w:t>, Aniq Nailil Muna</w:t>
      </w:r>
      <w:r>
        <w:rPr>
          <w:rFonts w:ascii="Cambria" w:hAnsi="Cambria" w:cstheme="minorHAnsi"/>
          <w:sz w:val="26"/>
          <w:szCs w:val="26"/>
          <w:vertAlign w:val="superscript"/>
        </w:rPr>
        <w:t>2</w:t>
      </w:r>
      <w:r w:rsidRPr="00F8313C">
        <w:rPr>
          <w:rFonts w:ascii="Cambria" w:hAnsi="Cambria" w:cstheme="minorHAnsi"/>
          <w:sz w:val="26"/>
          <w:szCs w:val="26"/>
          <w:lang w:val="id-ID"/>
        </w:rPr>
        <w:t>, Anis Septiyani</w:t>
      </w:r>
      <w:r w:rsidRPr="00AE2391">
        <w:rPr>
          <w:rFonts w:ascii="Cambria" w:hAnsi="Cambria" w:cstheme="minorHAnsi"/>
          <w:sz w:val="26"/>
          <w:szCs w:val="26"/>
          <w:vertAlign w:val="superscript"/>
        </w:rPr>
        <w:t>3</w:t>
      </w:r>
      <w:r w:rsidRPr="00F8313C">
        <w:rPr>
          <w:rFonts w:ascii="Cambria" w:hAnsi="Cambria" w:cstheme="minorHAnsi"/>
          <w:sz w:val="26"/>
          <w:szCs w:val="26"/>
          <w:lang w:val="id-ID"/>
        </w:rPr>
        <w:t>, Nurmasari Widyastuti</w:t>
      </w:r>
      <w:r>
        <w:rPr>
          <w:rFonts w:ascii="Cambria" w:hAnsi="Cambria" w:cstheme="minorHAnsi"/>
          <w:sz w:val="26"/>
          <w:szCs w:val="26"/>
          <w:vertAlign w:val="superscript"/>
        </w:rPr>
        <w:t>4</w:t>
      </w:r>
      <w:r w:rsidRPr="00F8313C">
        <w:rPr>
          <w:rFonts w:ascii="Cambria" w:hAnsi="Cambria" w:cstheme="minorHAnsi"/>
          <w:sz w:val="26"/>
          <w:szCs w:val="26"/>
          <w:vertAlign w:val="superscript"/>
          <w:lang w:val="id-ID"/>
        </w:rPr>
        <w:t>*</w:t>
      </w:r>
      <w:r w:rsidRPr="00F8313C">
        <w:rPr>
          <w:rFonts w:ascii="Cambria" w:hAnsi="Cambria" w:cstheme="minorHAnsi"/>
          <w:sz w:val="26"/>
          <w:szCs w:val="26"/>
          <w:lang w:val="id-ID"/>
        </w:rPr>
        <w:t>, Ani Margawati</w:t>
      </w:r>
      <w:r>
        <w:rPr>
          <w:rFonts w:ascii="Cambria" w:hAnsi="Cambria" w:cstheme="minorHAnsi"/>
          <w:sz w:val="26"/>
          <w:szCs w:val="26"/>
          <w:vertAlign w:val="superscript"/>
        </w:rPr>
        <w:t>5</w:t>
      </w:r>
      <w:r w:rsidRPr="00F8313C">
        <w:rPr>
          <w:rFonts w:ascii="Cambria" w:hAnsi="Cambria" w:cstheme="minorHAnsi"/>
          <w:sz w:val="26"/>
          <w:szCs w:val="26"/>
          <w:lang w:val="id-ID"/>
        </w:rPr>
        <w:t>, Martha Ardiaria</w:t>
      </w:r>
      <w:r>
        <w:rPr>
          <w:rFonts w:ascii="Cambria" w:hAnsi="Cambria" w:cstheme="minorHAnsi"/>
          <w:sz w:val="26"/>
          <w:szCs w:val="26"/>
          <w:vertAlign w:val="superscript"/>
        </w:rPr>
        <w:t>6</w:t>
      </w:r>
      <w:r w:rsidRPr="00F8313C">
        <w:rPr>
          <w:rFonts w:ascii="Cambria" w:hAnsi="Cambria" w:cstheme="minorHAnsi"/>
          <w:sz w:val="26"/>
          <w:szCs w:val="26"/>
          <w:lang w:val="id-ID"/>
        </w:rPr>
        <w:t xml:space="preserve">, </w:t>
      </w:r>
      <w:r w:rsidRPr="00F8313C">
        <w:rPr>
          <w:rFonts w:ascii="Cambria" w:hAnsi="Cambria" w:cstheme="minorHAnsi"/>
          <w:sz w:val="26"/>
          <w:szCs w:val="26"/>
        </w:rPr>
        <w:t xml:space="preserve">A. </w:t>
      </w:r>
      <w:r w:rsidRPr="00F8313C">
        <w:rPr>
          <w:rFonts w:ascii="Cambria" w:hAnsi="Cambria" w:cstheme="minorHAnsi"/>
          <w:sz w:val="26"/>
          <w:szCs w:val="26"/>
          <w:lang w:val="id-ID"/>
        </w:rPr>
        <w:t>Fahmy Arif Tsani</w:t>
      </w:r>
      <w:r>
        <w:rPr>
          <w:rFonts w:ascii="Cambria" w:hAnsi="Cambria" w:cstheme="minorHAnsi"/>
          <w:sz w:val="26"/>
          <w:szCs w:val="26"/>
          <w:vertAlign w:val="superscript"/>
        </w:rPr>
        <w:t>7</w:t>
      </w: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735"/>
      </w:tblGrid>
      <w:tr w:rsidR="00244D84" w14:paraId="0230F07E" w14:textId="77777777" w:rsidTr="00AE2391">
        <w:tc>
          <w:tcPr>
            <w:tcW w:w="2895" w:type="dxa"/>
            <w:tcBorders>
              <w:top w:val="nil"/>
              <w:left w:val="nil"/>
              <w:bottom w:val="nil"/>
              <w:right w:val="single" w:sz="24" w:space="0" w:color="A6A6A6"/>
            </w:tcBorders>
          </w:tcPr>
          <w:p w14:paraId="72E82ABD" w14:textId="77777777" w:rsidR="00AE2391" w:rsidRDefault="00AE2391" w:rsidP="00AE2391">
            <w:pPr>
              <w:pBdr>
                <w:top w:val="nil"/>
                <w:left w:val="nil"/>
                <w:bottom w:val="nil"/>
                <w:right w:val="nil"/>
                <w:between w:val="nil"/>
              </w:pBdr>
              <w:ind w:left="-111" w:right="177"/>
              <w:jc w:val="both"/>
              <w:rPr>
                <w:rFonts w:ascii="Cambria" w:eastAsia="Cambria" w:hAnsi="Cambria" w:cs="Cambria"/>
                <w:color w:val="000000"/>
                <w:sz w:val="16"/>
                <w:szCs w:val="16"/>
              </w:rPr>
            </w:pPr>
            <w:r w:rsidRPr="00CE5534">
              <w:rPr>
                <w:rFonts w:ascii="Cambria" w:eastAsia="Cambria" w:hAnsi="Cambria" w:cs="Cambria"/>
                <w:color w:val="000000"/>
                <w:sz w:val="16"/>
                <w:szCs w:val="16"/>
                <w:vertAlign w:val="superscript"/>
              </w:rPr>
              <w:t>1</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p>
          <w:p w14:paraId="4FBC8B6C" w14:textId="77777777" w:rsidR="00252673" w:rsidRPr="00CE5534" w:rsidRDefault="00022EE1" w:rsidP="00AE2391">
            <w:pPr>
              <w:pBdr>
                <w:top w:val="nil"/>
                <w:left w:val="nil"/>
                <w:bottom w:val="nil"/>
                <w:right w:val="nil"/>
                <w:between w:val="nil"/>
              </w:pBdr>
              <w:ind w:left="-111" w:right="177"/>
              <w:jc w:val="both"/>
              <w:rPr>
                <w:rFonts w:ascii="Cambria" w:eastAsia="Cambria" w:hAnsi="Cambria" w:cs="Cambria"/>
                <w:color w:val="000000"/>
                <w:sz w:val="16"/>
                <w:szCs w:val="16"/>
              </w:rPr>
            </w:pPr>
            <w:hyperlink r:id="rId8" w:history="1">
              <w:r w:rsidR="00252673" w:rsidRPr="00E90E79">
                <w:rPr>
                  <w:rStyle w:val="Hyperlink"/>
                  <w:rFonts w:ascii="Cambria" w:eastAsia="Cambria" w:hAnsi="Cambria" w:cs="Cambria"/>
                  <w:sz w:val="16"/>
                  <w:szCs w:val="16"/>
                </w:rPr>
                <w:t>dewisetyowati35@gmail.com</w:t>
              </w:r>
            </w:hyperlink>
            <w:r w:rsidR="00252673">
              <w:rPr>
                <w:rFonts w:ascii="Cambria" w:eastAsia="Cambria" w:hAnsi="Cambria" w:cs="Cambria"/>
                <w:color w:val="000000"/>
                <w:sz w:val="16"/>
                <w:szCs w:val="16"/>
              </w:rPr>
              <w:t xml:space="preserve"> </w:t>
            </w:r>
          </w:p>
          <w:p w14:paraId="0F3D8455" w14:textId="77777777" w:rsidR="00AE2391" w:rsidRDefault="00AE2391">
            <w:pPr>
              <w:pBdr>
                <w:top w:val="nil"/>
                <w:left w:val="nil"/>
                <w:bottom w:val="nil"/>
                <w:right w:val="nil"/>
                <w:between w:val="nil"/>
              </w:pBdr>
              <w:ind w:left="-111" w:right="81"/>
              <w:jc w:val="both"/>
              <w:rPr>
                <w:rFonts w:ascii="Cambria" w:hAnsi="Cambria" w:cstheme="minorHAnsi"/>
                <w:bCs/>
                <w:sz w:val="16"/>
                <w:szCs w:val="16"/>
                <w:lang w:val="id-ID"/>
              </w:rPr>
            </w:pPr>
            <w:r>
              <w:rPr>
                <w:rFonts w:ascii="Cambria" w:hAnsi="Cambria" w:cstheme="minorHAnsi"/>
                <w:bCs/>
                <w:sz w:val="16"/>
                <w:szCs w:val="16"/>
                <w:vertAlign w:val="superscript"/>
              </w:rPr>
              <w:t>2</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r w:rsidRPr="00CE5534">
              <w:rPr>
                <w:rFonts w:ascii="Cambria" w:hAnsi="Cambria" w:cstheme="minorHAnsi"/>
                <w:bCs/>
                <w:sz w:val="16"/>
                <w:szCs w:val="16"/>
                <w:lang w:val="id-ID"/>
              </w:rPr>
              <w:t xml:space="preserve"> </w:t>
            </w:r>
          </w:p>
          <w:p w14:paraId="460A590A" w14:textId="77777777" w:rsidR="00252673" w:rsidRPr="00252673" w:rsidRDefault="00022EE1">
            <w:pPr>
              <w:pBdr>
                <w:top w:val="nil"/>
                <w:left w:val="nil"/>
                <w:bottom w:val="nil"/>
                <w:right w:val="nil"/>
                <w:between w:val="nil"/>
              </w:pBdr>
              <w:ind w:left="-111" w:right="81"/>
              <w:jc w:val="both"/>
              <w:rPr>
                <w:rFonts w:ascii="Cambria" w:hAnsi="Cambria" w:cstheme="minorHAnsi"/>
                <w:bCs/>
                <w:sz w:val="16"/>
                <w:szCs w:val="16"/>
              </w:rPr>
            </w:pPr>
            <w:hyperlink r:id="rId9" w:history="1">
              <w:r w:rsidR="00252673" w:rsidRPr="00E90E79">
                <w:rPr>
                  <w:rStyle w:val="Hyperlink"/>
                  <w:rFonts w:ascii="Cambria" w:hAnsi="Cambria" w:cstheme="minorHAnsi"/>
                  <w:bCs/>
                  <w:sz w:val="16"/>
                  <w:szCs w:val="16"/>
                </w:rPr>
                <w:t>aniqnaililmuna@gmail.com</w:t>
              </w:r>
            </w:hyperlink>
            <w:r w:rsidR="00252673">
              <w:rPr>
                <w:rFonts w:ascii="Cambria" w:hAnsi="Cambria" w:cstheme="minorHAnsi"/>
                <w:bCs/>
                <w:sz w:val="16"/>
                <w:szCs w:val="16"/>
              </w:rPr>
              <w:t xml:space="preserve"> </w:t>
            </w:r>
          </w:p>
          <w:p w14:paraId="1606BC43" w14:textId="77777777" w:rsidR="00AE2391" w:rsidRDefault="00AE2391">
            <w:pPr>
              <w:pBdr>
                <w:top w:val="nil"/>
                <w:left w:val="nil"/>
                <w:bottom w:val="nil"/>
                <w:right w:val="nil"/>
                <w:between w:val="nil"/>
              </w:pBdr>
              <w:ind w:left="-111" w:right="81"/>
              <w:jc w:val="both"/>
              <w:rPr>
                <w:rFonts w:ascii="Cambria" w:hAnsi="Cambria" w:cstheme="minorHAnsi"/>
                <w:bCs/>
                <w:sz w:val="16"/>
                <w:szCs w:val="16"/>
                <w:lang w:val="id-ID"/>
              </w:rPr>
            </w:pPr>
            <w:r>
              <w:rPr>
                <w:rFonts w:ascii="Cambria" w:hAnsi="Cambria" w:cstheme="minorHAnsi"/>
                <w:bCs/>
                <w:sz w:val="16"/>
                <w:szCs w:val="16"/>
                <w:vertAlign w:val="superscript"/>
              </w:rPr>
              <w:t>3</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r w:rsidRPr="00CE5534">
              <w:rPr>
                <w:rFonts w:ascii="Cambria" w:hAnsi="Cambria" w:cstheme="minorHAnsi"/>
                <w:bCs/>
                <w:sz w:val="16"/>
                <w:szCs w:val="16"/>
                <w:lang w:val="id-ID"/>
              </w:rPr>
              <w:t xml:space="preserve"> </w:t>
            </w:r>
          </w:p>
          <w:p w14:paraId="1B7111D6" w14:textId="77777777" w:rsidR="00252673" w:rsidRPr="00252673" w:rsidRDefault="00022EE1">
            <w:pPr>
              <w:pBdr>
                <w:top w:val="nil"/>
                <w:left w:val="nil"/>
                <w:bottom w:val="nil"/>
                <w:right w:val="nil"/>
                <w:between w:val="nil"/>
              </w:pBdr>
              <w:ind w:left="-111" w:right="81"/>
              <w:jc w:val="both"/>
              <w:rPr>
                <w:rFonts w:ascii="Cambria" w:hAnsi="Cambria" w:cstheme="minorHAnsi"/>
                <w:bCs/>
                <w:sz w:val="16"/>
                <w:szCs w:val="16"/>
              </w:rPr>
            </w:pPr>
            <w:hyperlink r:id="rId10" w:history="1">
              <w:r w:rsidR="00252673" w:rsidRPr="00E90E79">
                <w:rPr>
                  <w:rStyle w:val="Hyperlink"/>
                  <w:rFonts w:ascii="Cambria" w:hAnsi="Cambria" w:cstheme="minorHAnsi"/>
                  <w:bCs/>
                  <w:sz w:val="16"/>
                  <w:szCs w:val="16"/>
                </w:rPr>
                <w:t>anisseptyani@gmail.com</w:t>
              </w:r>
            </w:hyperlink>
            <w:r w:rsidR="00252673">
              <w:rPr>
                <w:rFonts w:ascii="Cambria" w:hAnsi="Cambria" w:cstheme="minorHAnsi"/>
                <w:bCs/>
                <w:sz w:val="16"/>
                <w:szCs w:val="16"/>
              </w:rPr>
              <w:t xml:space="preserve"> </w:t>
            </w:r>
          </w:p>
          <w:p w14:paraId="5BC5FAC2" w14:textId="77777777" w:rsidR="00AE2391" w:rsidRPr="0007673F" w:rsidRDefault="00AE2391">
            <w:pPr>
              <w:pBdr>
                <w:top w:val="nil"/>
                <w:left w:val="nil"/>
                <w:bottom w:val="nil"/>
                <w:right w:val="nil"/>
                <w:between w:val="nil"/>
              </w:pBdr>
              <w:ind w:left="-111" w:right="81"/>
              <w:jc w:val="both"/>
              <w:rPr>
                <w:rFonts w:ascii="Cambria" w:hAnsi="Cambria" w:cstheme="minorHAnsi"/>
                <w:bCs/>
                <w:sz w:val="16"/>
                <w:szCs w:val="16"/>
              </w:rPr>
            </w:pPr>
            <w:r>
              <w:rPr>
                <w:rFonts w:ascii="Cambria" w:hAnsi="Cambria" w:cstheme="minorHAnsi"/>
                <w:bCs/>
                <w:sz w:val="16"/>
                <w:szCs w:val="16"/>
                <w:vertAlign w:val="superscript"/>
              </w:rPr>
              <w:t>4</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r w:rsidRPr="00CE5534">
              <w:rPr>
                <w:rFonts w:ascii="Cambria" w:hAnsi="Cambria" w:cstheme="minorHAnsi"/>
                <w:bCs/>
                <w:sz w:val="16"/>
                <w:szCs w:val="16"/>
                <w:lang w:val="id-ID"/>
              </w:rPr>
              <w:t xml:space="preserve"> </w:t>
            </w:r>
            <w:hyperlink r:id="rId11" w:history="1">
              <w:r w:rsidR="0007673F" w:rsidRPr="006D24C1">
                <w:rPr>
                  <w:rStyle w:val="Hyperlink"/>
                  <w:rFonts w:ascii="Cambria" w:hAnsi="Cambria" w:cstheme="minorHAnsi"/>
                  <w:bCs/>
                  <w:sz w:val="16"/>
                  <w:szCs w:val="16"/>
                </w:rPr>
                <w:t>widyastutinurmasari@gmail.com</w:t>
              </w:r>
            </w:hyperlink>
            <w:r w:rsidR="0007673F">
              <w:rPr>
                <w:rFonts w:ascii="Cambria" w:hAnsi="Cambria" w:cstheme="minorHAnsi"/>
                <w:bCs/>
                <w:sz w:val="16"/>
                <w:szCs w:val="16"/>
              </w:rPr>
              <w:t xml:space="preserve"> </w:t>
            </w:r>
          </w:p>
          <w:p w14:paraId="5531D145" w14:textId="77777777" w:rsidR="00AE2391" w:rsidRDefault="00AE2391">
            <w:pPr>
              <w:pBdr>
                <w:top w:val="nil"/>
                <w:left w:val="nil"/>
                <w:bottom w:val="nil"/>
                <w:right w:val="nil"/>
                <w:between w:val="nil"/>
              </w:pBdr>
              <w:ind w:left="-111" w:right="81"/>
              <w:jc w:val="both"/>
              <w:rPr>
                <w:rFonts w:ascii="Cambria" w:hAnsi="Cambria" w:cstheme="minorHAnsi"/>
                <w:bCs/>
                <w:sz w:val="16"/>
                <w:szCs w:val="16"/>
                <w:lang w:val="id-ID"/>
              </w:rPr>
            </w:pPr>
            <w:r>
              <w:rPr>
                <w:rFonts w:ascii="Cambria" w:hAnsi="Cambria" w:cstheme="minorHAnsi"/>
                <w:bCs/>
                <w:sz w:val="16"/>
                <w:szCs w:val="16"/>
                <w:vertAlign w:val="superscript"/>
              </w:rPr>
              <w:t>5</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r w:rsidRPr="00CE5534">
              <w:rPr>
                <w:rFonts w:ascii="Cambria" w:hAnsi="Cambria" w:cstheme="minorHAnsi"/>
                <w:bCs/>
                <w:sz w:val="16"/>
                <w:szCs w:val="16"/>
                <w:lang w:val="id-ID"/>
              </w:rPr>
              <w:t xml:space="preserve"> </w:t>
            </w:r>
          </w:p>
          <w:p w14:paraId="73363A60" w14:textId="77777777" w:rsidR="00252673" w:rsidRPr="00252673" w:rsidRDefault="00022EE1">
            <w:pPr>
              <w:pBdr>
                <w:top w:val="nil"/>
                <w:left w:val="nil"/>
                <w:bottom w:val="nil"/>
                <w:right w:val="nil"/>
                <w:between w:val="nil"/>
              </w:pBdr>
              <w:ind w:left="-111" w:right="81"/>
              <w:jc w:val="both"/>
              <w:rPr>
                <w:rFonts w:ascii="Cambria" w:hAnsi="Cambria" w:cstheme="minorHAnsi"/>
                <w:bCs/>
                <w:sz w:val="16"/>
                <w:szCs w:val="16"/>
              </w:rPr>
            </w:pPr>
            <w:hyperlink r:id="rId12" w:history="1">
              <w:r w:rsidR="00252673" w:rsidRPr="00E90E79">
                <w:rPr>
                  <w:rStyle w:val="Hyperlink"/>
                  <w:rFonts w:ascii="Cambria" w:hAnsi="Cambria" w:cstheme="minorHAnsi"/>
                  <w:bCs/>
                  <w:sz w:val="16"/>
                  <w:szCs w:val="16"/>
                </w:rPr>
                <w:t>animargawati@gmail.com</w:t>
              </w:r>
            </w:hyperlink>
            <w:r w:rsidR="00252673">
              <w:rPr>
                <w:rFonts w:ascii="Cambria" w:hAnsi="Cambria" w:cstheme="minorHAnsi"/>
                <w:bCs/>
                <w:sz w:val="16"/>
                <w:szCs w:val="16"/>
              </w:rPr>
              <w:t xml:space="preserve"> </w:t>
            </w:r>
          </w:p>
          <w:p w14:paraId="026A6DD0" w14:textId="77777777" w:rsidR="00AE2391" w:rsidRDefault="00AE2391">
            <w:pPr>
              <w:pBdr>
                <w:top w:val="nil"/>
                <w:left w:val="nil"/>
                <w:bottom w:val="nil"/>
                <w:right w:val="nil"/>
                <w:between w:val="nil"/>
              </w:pBdr>
              <w:ind w:left="-111" w:right="81"/>
              <w:jc w:val="both"/>
              <w:rPr>
                <w:rFonts w:ascii="Cambria" w:hAnsi="Cambria" w:cstheme="minorHAnsi"/>
                <w:bCs/>
                <w:sz w:val="16"/>
                <w:szCs w:val="16"/>
                <w:lang w:val="id-ID"/>
              </w:rPr>
            </w:pPr>
            <w:r>
              <w:rPr>
                <w:rFonts w:ascii="Cambria" w:hAnsi="Cambria" w:cstheme="minorHAnsi"/>
                <w:bCs/>
                <w:sz w:val="16"/>
                <w:szCs w:val="16"/>
                <w:vertAlign w:val="superscript"/>
              </w:rPr>
              <w:t>6</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r w:rsidRPr="00CE5534">
              <w:rPr>
                <w:rFonts w:ascii="Cambria" w:hAnsi="Cambria" w:cstheme="minorHAnsi"/>
                <w:bCs/>
                <w:sz w:val="16"/>
                <w:szCs w:val="16"/>
                <w:lang w:val="id-ID"/>
              </w:rPr>
              <w:t xml:space="preserve"> </w:t>
            </w:r>
          </w:p>
          <w:p w14:paraId="48037EA2" w14:textId="77777777" w:rsidR="00252673" w:rsidRPr="00252673" w:rsidRDefault="00022EE1">
            <w:pPr>
              <w:pBdr>
                <w:top w:val="nil"/>
                <w:left w:val="nil"/>
                <w:bottom w:val="nil"/>
                <w:right w:val="nil"/>
                <w:between w:val="nil"/>
              </w:pBdr>
              <w:ind w:left="-111" w:right="81"/>
              <w:jc w:val="both"/>
              <w:rPr>
                <w:rFonts w:ascii="Cambria" w:hAnsi="Cambria" w:cstheme="minorHAnsi"/>
                <w:bCs/>
                <w:sz w:val="16"/>
                <w:szCs w:val="16"/>
              </w:rPr>
            </w:pPr>
            <w:hyperlink r:id="rId13" w:history="1">
              <w:r w:rsidR="00252673" w:rsidRPr="00E90E79">
                <w:rPr>
                  <w:rStyle w:val="Hyperlink"/>
                  <w:rFonts w:ascii="Cambria" w:hAnsi="Cambria" w:cstheme="minorHAnsi"/>
                  <w:bCs/>
                  <w:sz w:val="16"/>
                  <w:szCs w:val="16"/>
                </w:rPr>
                <w:t>ardiaria@yahoo.com</w:t>
              </w:r>
            </w:hyperlink>
            <w:r w:rsidR="00252673">
              <w:rPr>
                <w:rFonts w:ascii="Cambria" w:hAnsi="Cambria" w:cstheme="minorHAnsi"/>
                <w:bCs/>
                <w:sz w:val="16"/>
                <w:szCs w:val="16"/>
              </w:rPr>
              <w:t xml:space="preserve"> </w:t>
            </w:r>
          </w:p>
          <w:p w14:paraId="491DDDED" w14:textId="77777777" w:rsidR="00244D84" w:rsidRDefault="00AE2391">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hAnsi="Cambria" w:cstheme="minorHAnsi"/>
                <w:bCs/>
                <w:sz w:val="16"/>
                <w:szCs w:val="16"/>
                <w:vertAlign w:val="superscript"/>
              </w:rPr>
              <w:t>7</w:t>
            </w:r>
            <w:r w:rsidRPr="00CE5534">
              <w:rPr>
                <w:rFonts w:ascii="Cambria" w:hAnsi="Cambria" w:cstheme="minorHAnsi"/>
                <w:bCs/>
                <w:sz w:val="16"/>
                <w:szCs w:val="16"/>
                <w:lang w:val="id-ID"/>
              </w:rPr>
              <w:t>Departemen Ilmu Gizi Fakultas Kedokteran Universitas Diponegoro, Semarang</w:t>
            </w:r>
            <w:r w:rsidRPr="00CE5534">
              <w:rPr>
                <w:rFonts w:ascii="Cambria" w:eastAsia="Cambria" w:hAnsi="Cambria" w:cs="Cambria"/>
                <w:color w:val="000000"/>
                <w:sz w:val="16"/>
                <w:szCs w:val="16"/>
              </w:rPr>
              <w:t>.</w:t>
            </w:r>
          </w:p>
          <w:p w14:paraId="19D7AC1C" w14:textId="77777777" w:rsidR="00252673" w:rsidRDefault="00022EE1">
            <w:pPr>
              <w:pBdr>
                <w:top w:val="nil"/>
                <w:left w:val="nil"/>
                <w:bottom w:val="nil"/>
                <w:right w:val="nil"/>
                <w:between w:val="nil"/>
              </w:pBdr>
              <w:ind w:left="-111" w:right="81"/>
              <w:jc w:val="both"/>
              <w:rPr>
                <w:rFonts w:ascii="Cambria" w:eastAsia="Cambria" w:hAnsi="Cambria" w:cs="Cambria"/>
                <w:color w:val="000000"/>
                <w:sz w:val="16"/>
                <w:szCs w:val="16"/>
              </w:rPr>
            </w:pPr>
            <w:hyperlink r:id="rId14" w:history="1">
              <w:r w:rsidR="000A0D96">
                <w:rPr>
                  <w:rStyle w:val="Hyperlink"/>
                </w:rPr>
                <w:t>f</w:t>
              </w:r>
              <w:r w:rsidR="00252673" w:rsidRPr="00E90E79">
                <w:rPr>
                  <w:rStyle w:val="Hyperlink"/>
                  <w:rFonts w:ascii="Cambria" w:eastAsia="Cambria" w:hAnsi="Cambria" w:cs="Cambria"/>
                  <w:sz w:val="16"/>
                  <w:szCs w:val="16"/>
                </w:rPr>
                <w:t>ahmi_tsani@yahoo.com</w:t>
              </w:r>
            </w:hyperlink>
            <w:r w:rsidR="00252673">
              <w:rPr>
                <w:rFonts w:ascii="Cambria" w:eastAsia="Cambria" w:hAnsi="Cambria" w:cs="Cambria"/>
                <w:color w:val="000000"/>
                <w:sz w:val="16"/>
                <w:szCs w:val="16"/>
              </w:rPr>
              <w:t xml:space="preserve"> </w:t>
            </w:r>
          </w:p>
          <w:p w14:paraId="01F26DF1" w14:textId="77777777" w:rsidR="00244D84" w:rsidRDefault="00244D84">
            <w:pPr>
              <w:pBdr>
                <w:top w:val="nil"/>
                <w:left w:val="nil"/>
                <w:bottom w:val="nil"/>
                <w:right w:val="nil"/>
                <w:between w:val="nil"/>
              </w:pBdr>
              <w:ind w:left="-111" w:right="81"/>
              <w:jc w:val="both"/>
              <w:rPr>
                <w:rFonts w:ascii="Cambria" w:eastAsia="Cambria" w:hAnsi="Cambria" w:cs="Cambria"/>
                <w:color w:val="000000"/>
                <w:sz w:val="16"/>
                <w:szCs w:val="16"/>
              </w:rPr>
            </w:pPr>
          </w:p>
          <w:p w14:paraId="4C7059C4" w14:textId="77777777" w:rsidR="00244D84" w:rsidRDefault="003814EC">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w:t>
            </w:r>
            <w:proofErr w:type="spellStart"/>
            <w:r>
              <w:rPr>
                <w:rFonts w:ascii="Cambria" w:eastAsia="Cambria" w:hAnsi="Cambria" w:cs="Cambria"/>
                <w:b/>
                <w:color w:val="000000"/>
                <w:sz w:val="16"/>
                <w:szCs w:val="16"/>
              </w:rPr>
              <w:t>Korespondensi</w:t>
            </w:r>
            <w:proofErr w:type="spellEnd"/>
            <w:r>
              <w:rPr>
                <w:rFonts w:ascii="Cambria" w:eastAsia="Cambria" w:hAnsi="Cambria" w:cs="Cambria"/>
                <w:b/>
                <w:color w:val="000000"/>
                <w:sz w:val="16"/>
                <w:szCs w:val="16"/>
              </w:rPr>
              <w:t>:</w:t>
            </w:r>
          </w:p>
          <w:p w14:paraId="0D309C49" w14:textId="77777777" w:rsidR="00244D84" w:rsidRDefault="0007673F">
            <w:pPr>
              <w:pBdr>
                <w:top w:val="nil"/>
                <w:left w:val="nil"/>
                <w:bottom w:val="nil"/>
                <w:right w:val="nil"/>
                <w:between w:val="nil"/>
              </w:pBdr>
              <w:ind w:left="-111" w:right="81"/>
              <w:jc w:val="both"/>
              <w:rPr>
                <w:rFonts w:ascii="Cambria" w:eastAsia="Cambria" w:hAnsi="Cambria" w:cs="Cambria"/>
                <w:color w:val="000000"/>
                <w:sz w:val="16"/>
                <w:szCs w:val="16"/>
              </w:rPr>
            </w:pPr>
            <w:proofErr w:type="spellStart"/>
            <w:r>
              <w:rPr>
                <w:rFonts w:ascii="Cambria" w:eastAsia="Cambria" w:hAnsi="Cambria" w:cs="Cambria"/>
                <w:color w:val="000000"/>
                <w:sz w:val="16"/>
                <w:szCs w:val="16"/>
              </w:rPr>
              <w:t>Departemen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Ilmu</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Gizi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Fakultas</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Kedoktera</w:t>
            </w:r>
            <w:r w:rsidR="00A933DB">
              <w:rPr>
                <w:rFonts w:ascii="Cambria" w:eastAsia="Cambria" w:hAnsi="Cambria" w:cs="Cambria"/>
                <w:color w:val="000000"/>
                <w:sz w:val="16"/>
                <w:szCs w:val="16"/>
              </w:rPr>
              <w:t>n</w:t>
            </w:r>
            <w:proofErr w:type="spellEnd"/>
            <w:r>
              <w:rPr>
                <w:rFonts w:ascii="Cambria" w:eastAsia="Cambria" w:hAnsi="Cambria" w:cs="Cambria"/>
                <w:color w:val="000000"/>
                <w:sz w:val="16"/>
                <w:szCs w:val="16"/>
              </w:rPr>
              <w:t xml:space="preserve"> Universitas </w:t>
            </w:r>
            <w:proofErr w:type="spellStart"/>
            <w:r>
              <w:rPr>
                <w:rFonts w:ascii="Cambria" w:eastAsia="Cambria" w:hAnsi="Cambria" w:cs="Cambria"/>
                <w:color w:val="000000"/>
                <w:sz w:val="16"/>
                <w:szCs w:val="16"/>
              </w:rPr>
              <w:t>Diponegoro</w:t>
            </w:r>
            <w:proofErr w:type="spellEnd"/>
            <w:r>
              <w:rPr>
                <w:rFonts w:ascii="Cambria" w:eastAsia="Cambria" w:hAnsi="Cambria" w:cs="Cambria"/>
                <w:color w:val="000000"/>
                <w:sz w:val="16"/>
                <w:szCs w:val="16"/>
              </w:rPr>
              <w:t xml:space="preserve">, Jl. Prof. </w:t>
            </w:r>
            <w:proofErr w:type="spellStart"/>
            <w:r>
              <w:rPr>
                <w:rFonts w:ascii="Cambria" w:eastAsia="Cambria" w:hAnsi="Cambria" w:cs="Cambria"/>
                <w:color w:val="000000"/>
                <w:sz w:val="16"/>
                <w:szCs w:val="16"/>
              </w:rPr>
              <w:t>Soedharto</w:t>
            </w:r>
            <w:proofErr w:type="spellEnd"/>
            <w:r>
              <w:rPr>
                <w:rFonts w:ascii="Cambria" w:eastAsia="Cambria" w:hAnsi="Cambria" w:cs="Cambria"/>
                <w:color w:val="000000"/>
                <w:sz w:val="16"/>
                <w:szCs w:val="16"/>
              </w:rPr>
              <w:t xml:space="preserve">, SH, </w:t>
            </w:r>
            <w:proofErr w:type="spellStart"/>
            <w:r>
              <w:rPr>
                <w:rFonts w:ascii="Cambria" w:eastAsia="Cambria" w:hAnsi="Cambria" w:cs="Cambria"/>
                <w:color w:val="000000"/>
                <w:sz w:val="16"/>
                <w:szCs w:val="16"/>
              </w:rPr>
              <w:t>Tembalang</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Banyumanik</w:t>
            </w:r>
            <w:proofErr w:type="spellEnd"/>
            <w:r>
              <w:rPr>
                <w:rFonts w:ascii="Cambria" w:eastAsia="Cambria" w:hAnsi="Cambria" w:cs="Cambria"/>
                <w:color w:val="000000"/>
                <w:sz w:val="16"/>
                <w:szCs w:val="16"/>
              </w:rPr>
              <w:t xml:space="preserve">, Semarang, </w:t>
            </w:r>
            <w:proofErr w:type="spellStart"/>
            <w:r>
              <w:rPr>
                <w:rFonts w:ascii="Cambria" w:eastAsia="Cambria" w:hAnsi="Cambria" w:cs="Cambria"/>
                <w:color w:val="000000"/>
                <w:sz w:val="16"/>
                <w:szCs w:val="16"/>
              </w:rPr>
              <w:t>Jawa</w:t>
            </w:r>
            <w:proofErr w:type="spellEnd"/>
            <w:r>
              <w:rPr>
                <w:rFonts w:ascii="Cambria" w:eastAsia="Cambria" w:hAnsi="Cambria" w:cs="Cambria"/>
                <w:color w:val="000000"/>
                <w:sz w:val="16"/>
                <w:szCs w:val="16"/>
              </w:rPr>
              <w:t xml:space="preserve"> Tengah. </w:t>
            </w:r>
            <w:hyperlink r:id="rId15" w:history="1">
              <w:r w:rsidRPr="006D24C1">
                <w:rPr>
                  <w:rStyle w:val="Hyperlink"/>
                  <w:rFonts w:ascii="Cambria" w:eastAsia="Cambria" w:hAnsi="Cambria" w:cs="Cambria"/>
                  <w:sz w:val="16"/>
                  <w:szCs w:val="16"/>
                </w:rPr>
                <w:t>widyastutinurmasari@gmail.com</w:t>
              </w:r>
            </w:hyperlink>
            <w:r>
              <w:rPr>
                <w:rFonts w:ascii="Cambria" w:eastAsia="Cambria" w:hAnsi="Cambria" w:cs="Cambria"/>
                <w:color w:val="000000"/>
                <w:sz w:val="16"/>
                <w:szCs w:val="16"/>
              </w:rPr>
              <w:t xml:space="preserve"> </w:t>
            </w:r>
            <w:r w:rsidR="003814EC">
              <w:rPr>
                <w:rFonts w:ascii="Cambria" w:eastAsia="Cambria" w:hAnsi="Cambria" w:cs="Cambria"/>
                <w:color w:val="000000"/>
                <w:sz w:val="16"/>
                <w:szCs w:val="16"/>
              </w:rPr>
              <w:t>.</w:t>
            </w:r>
          </w:p>
          <w:p w14:paraId="1CE84C1A" w14:textId="77777777" w:rsidR="00244D84" w:rsidRDefault="00244D84">
            <w:pPr>
              <w:pBdr>
                <w:top w:val="nil"/>
                <w:left w:val="nil"/>
                <w:bottom w:val="nil"/>
                <w:right w:val="nil"/>
                <w:between w:val="nil"/>
              </w:pBdr>
              <w:ind w:left="-111" w:right="81"/>
              <w:jc w:val="both"/>
              <w:rPr>
                <w:rFonts w:ascii="Cambria" w:eastAsia="Cambria" w:hAnsi="Cambria" w:cs="Cambria"/>
                <w:color w:val="000000"/>
                <w:sz w:val="16"/>
                <w:szCs w:val="16"/>
              </w:rPr>
            </w:pPr>
          </w:p>
          <w:p w14:paraId="16BC4209" w14:textId="77777777" w:rsidR="00244D84" w:rsidRDefault="003814EC">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Riwayat Artikel:</w:t>
            </w:r>
          </w:p>
          <w:p w14:paraId="4F3E1CC6" w14:textId="77777777" w:rsidR="00244D84" w:rsidRDefault="003814EC">
            <w:pPr>
              <w:pBdr>
                <w:top w:val="nil"/>
                <w:left w:val="nil"/>
                <w:bottom w:val="nil"/>
                <w:right w:val="nil"/>
                <w:between w:val="nil"/>
              </w:pBdr>
              <w:ind w:left="-111" w:right="81"/>
              <w:jc w:val="both"/>
              <w:rPr>
                <w:rFonts w:ascii="Cambria" w:eastAsia="Cambria" w:hAnsi="Cambria" w:cs="Cambria"/>
                <w:color w:val="000000"/>
                <w:sz w:val="16"/>
                <w:szCs w:val="16"/>
              </w:rPr>
            </w:pPr>
            <w:proofErr w:type="spellStart"/>
            <w:r>
              <w:rPr>
                <w:rFonts w:ascii="Cambria" w:eastAsia="Cambria" w:hAnsi="Cambria" w:cs="Cambria"/>
                <w:color w:val="000000"/>
                <w:sz w:val="16"/>
                <w:szCs w:val="16"/>
              </w:rPr>
              <w:t>Diterima</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7 </w:t>
            </w:r>
            <w:proofErr w:type="spellStart"/>
            <w:r>
              <w:rPr>
                <w:rFonts w:ascii="Cambria" w:eastAsia="Cambria" w:hAnsi="Cambria" w:cs="Cambria"/>
                <w:color w:val="000000"/>
                <w:sz w:val="16"/>
                <w:szCs w:val="16"/>
              </w:rPr>
              <w:t>Februari</w:t>
            </w:r>
            <w:proofErr w:type="spellEnd"/>
            <w:r>
              <w:rPr>
                <w:rFonts w:ascii="Cambria" w:eastAsia="Cambria" w:hAnsi="Cambria" w:cs="Cambria"/>
                <w:color w:val="000000"/>
                <w:sz w:val="16"/>
                <w:szCs w:val="16"/>
              </w:rPr>
              <w:t xml:space="preserve"> 2019; </w:t>
            </w:r>
            <w:proofErr w:type="spellStart"/>
            <w:r>
              <w:rPr>
                <w:rFonts w:ascii="Cambria" w:eastAsia="Cambria" w:hAnsi="Cambria" w:cs="Cambria"/>
                <w:color w:val="000000"/>
                <w:sz w:val="16"/>
                <w:szCs w:val="16"/>
              </w:rPr>
              <w:t>Direvisi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21 </w:t>
            </w:r>
            <w:proofErr w:type="spellStart"/>
            <w:r>
              <w:rPr>
                <w:rFonts w:ascii="Cambria" w:eastAsia="Cambria" w:hAnsi="Cambria" w:cs="Cambria"/>
                <w:color w:val="000000"/>
                <w:sz w:val="16"/>
                <w:szCs w:val="16"/>
              </w:rPr>
              <w:t>Maret</w:t>
            </w:r>
            <w:proofErr w:type="spellEnd"/>
            <w:r>
              <w:rPr>
                <w:rFonts w:ascii="Cambria" w:eastAsia="Cambria" w:hAnsi="Cambria" w:cs="Cambria"/>
                <w:color w:val="000000"/>
                <w:sz w:val="16"/>
                <w:szCs w:val="16"/>
              </w:rPr>
              <w:t xml:space="preserve"> 2019; </w:t>
            </w:r>
            <w:proofErr w:type="spellStart"/>
            <w:r>
              <w:rPr>
                <w:rFonts w:ascii="Cambria" w:eastAsia="Cambria" w:hAnsi="Cambria" w:cs="Cambria"/>
                <w:color w:val="000000"/>
                <w:sz w:val="16"/>
                <w:szCs w:val="16"/>
              </w:rPr>
              <w:t>Disetujui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10 April 2019; </w:t>
            </w:r>
            <w:proofErr w:type="spellStart"/>
            <w:r>
              <w:rPr>
                <w:rFonts w:ascii="Cambria" w:eastAsia="Cambria" w:hAnsi="Cambria" w:cs="Cambria"/>
                <w:color w:val="000000"/>
                <w:sz w:val="16"/>
                <w:szCs w:val="16"/>
              </w:rPr>
              <w:t>Dipublikasi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1 </w:t>
            </w:r>
            <w:proofErr w:type="spellStart"/>
            <w:r>
              <w:rPr>
                <w:rFonts w:ascii="Cambria" w:eastAsia="Cambria" w:hAnsi="Cambria" w:cs="Cambria"/>
                <w:color w:val="000000"/>
                <w:sz w:val="16"/>
                <w:szCs w:val="16"/>
              </w:rPr>
              <w:t>Juni</w:t>
            </w:r>
            <w:proofErr w:type="spellEnd"/>
            <w:r>
              <w:rPr>
                <w:rFonts w:ascii="Cambria" w:eastAsia="Cambria" w:hAnsi="Cambria" w:cs="Cambria"/>
                <w:color w:val="000000"/>
                <w:sz w:val="16"/>
                <w:szCs w:val="16"/>
              </w:rPr>
              <w:t xml:space="preserve"> 2019.</w:t>
            </w:r>
          </w:p>
          <w:p w14:paraId="1CE2B90A" w14:textId="77777777" w:rsidR="00244D84" w:rsidRDefault="00244D84">
            <w:pPr>
              <w:pBdr>
                <w:top w:val="nil"/>
                <w:left w:val="nil"/>
                <w:bottom w:val="nil"/>
                <w:right w:val="nil"/>
                <w:between w:val="nil"/>
              </w:pBdr>
              <w:ind w:left="-111" w:right="81"/>
              <w:jc w:val="both"/>
              <w:rPr>
                <w:rFonts w:ascii="Cambria" w:eastAsia="Cambria" w:hAnsi="Cambria" w:cs="Cambria"/>
                <w:color w:val="000000"/>
                <w:sz w:val="16"/>
                <w:szCs w:val="16"/>
              </w:rPr>
            </w:pPr>
          </w:p>
          <w:p w14:paraId="40E177B2" w14:textId="77777777" w:rsidR="00244D84" w:rsidRDefault="003814EC">
            <w:pPr>
              <w:pBdr>
                <w:top w:val="nil"/>
                <w:left w:val="nil"/>
                <w:bottom w:val="nil"/>
                <w:right w:val="nil"/>
                <w:between w:val="nil"/>
              </w:pBdr>
              <w:ind w:left="-111" w:right="81"/>
              <w:jc w:val="both"/>
              <w:rPr>
                <w:rFonts w:ascii="Cambria" w:eastAsia="Cambria" w:hAnsi="Cambria" w:cs="Cambria"/>
                <w:b/>
                <w:color w:val="000000"/>
                <w:sz w:val="16"/>
                <w:szCs w:val="16"/>
              </w:rPr>
            </w:pPr>
            <w:proofErr w:type="spellStart"/>
            <w:r>
              <w:rPr>
                <w:rFonts w:ascii="Cambria" w:eastAsia="Cambria" w:hAnsi="Cambria" w:cs="Cambria"/>
                <w:b/>
                <w:color w:val="000000"/>
                <w:sz w:val="16"/>
                <w:szCs w:val="16"/>
              </w:rPr>
              <w:t>Penerbit</w:t>
            </w:r>
            <w:proofErr w:type="spellEnd"/>
            <w:r>
              <w:rPr>
                <w:rFonts w:ascii="Cambria" w:eastAsia="Cambria" w:hAnsi="Cambria" w:cs="Cambria"/>
                <w:b/>
                <w:color w:val="000000"/>
                <w:sz w:val="16"/>
                <w:szCs w:val="16"/>
              </w:rPr>
              <w:t>:</w:t>
            </w:r>
          </w:p>
          <w:p w14:paraId="24B9B0F2" w14:textId="77777777" w:rsidR="00244D84" w:rsidRDefault="00244D84">
            <w:pPr>
              <w:pBdr>
                <w:top w:val="nil"/>
                <w:left w:val="nil"/>
                <w:bottom w:val="nil"/>
                <w:right w:val="nil"/>
                <w:between w:val="nil"/>
              </w:pBdr>
              <w:ind w:left="-111" w:right="81"/>
              <w:jc w:val="both"/>
              <w:rPr>
                <w:rFonts w:ascii="Cambria" w:eastAsia="Cambria" w:hAnsi="Cambria" w:cs="Cambria"/>
                <w:b/>
                <w:color w:val="000000"/>
                <w:sz w:val="8"/>
                <w:szCs w:val="8"/>
              </w:rPr>
            </w:pPr>
          </w:p>
          <w:p w14:paraId="02C6001F" w14:textId="77777777" w:rsidR="00244D84" w:rsidRDefault="003814EC">
            <w:pPr>
              <w:pBdr>
                <w:top w:val="nil"/>
                <w:left w:val="nil"/>
                <w:bottom w:val="nil"/>
                <w:right w:val="nil"/>
                <w:between w:val="nil"/>
              </w:pBdr>
              <w:ind w:left="-149" w:right="81"/>
              <w:jc w:val="both"/>
              <w:rPr>
                <w:rFonts w:ascii="Cambria" w:eastAsia="Cambria" w:hAnsi="Cambria" w:cs="Cambria"/>
                <w:color w:val="000000"/>
                <w:sz w:val="16"/>
                <w:szCs w:val="16"/>
              </w:rPr>
            </w:pPr>
            <w:r>
              <w:rPr>
                <w:rFonts w:ascii="Cambria" w:eastAsia="Cambria" w:hAnsi="Cambria" w:cs="Cambria"/>
                <w:noProof/>
                <w:color w:val="000000"/>
                <w:sz w:val="16"/>
                <w:szCs w:val="16"/>
              </w:rPr>
              <w:drawing>
                <wp:inline distT="0" distB="0" distL="0" distR="0" wp14:anchorId="63D4630A" wp14:editId="65E87110">
                  <wp:extent cx="1657967" cy="326857"/>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r="2679"/>
                          <a:stretch>
                            <a:fillRect/>
                          </a:stretch>
                        </pic:blipFill>
                        <pic:spPr>
                          <a:xfrm>
                            <a:off x="0" y="0"/>
                            <a:ext cx="1657967" cy="326857"/>
                          </a:xfrm>
                          <a:prstGeom prst="rect">
                            <a:avLst/>
                          </a:prstGeom>
                          <a:ln/>
                        </pic:spPr>
                      </pic:pic>
                    </a:graphicData>
                  </a:graphic>
                </wp:inline>
              </w:drawing>
            </w:r>
          </w:p>
          <w:p w14:paraId="00FF4E54" w14:textId="77777777" w:rsidR="00244D84" w:rsidRDefault="00244D84">
            <w:pPr>
              <w:pBdr>
                <w:top w:val="nil"/>
                <w:left w:val="nil"/>
                <w:bottom w:val="nil"/>
                <w:right w:val="nil"/>
                <w:between w:val="nil"/>
              </w:pBdr>
              <w:ind w:left="-111" w:right="81"/>
              <w:jc w:val="both"/>
              <w:rPr>
                <w:rFonts w:ascii="Cambria" w:eastAsia="Cambria" w:hAnsi="Cambria" w:cs="Cambria"/>
                <w:color w:val="000000"/>
                <w:sz w:val="16"/>
                <w:szCs w:val="16"/>
              </w:rPr>
            </w:pPr>
          </w:p>
          <w:p w14:paraId="5D6C8E4F" w14:textId="77777777" w:rsidR="00244D84" w:rsidRDefault="003814EC">
            <w:pPr>
              <w:pBdr>
                <w:top w:val="nil"/>
                <w:left w:val="nil"/>
                <w:bottom w:val="nil"/>
                <w:right w:val="nil"/>
                <w:between w:val="nil"/>
              </w:pBdr>
              <w:ind w:left="-111" w:right="81"/>
              <w:jc w:val="both"/>
              <w:rPr>
                <w:rFonts w:ascii="Cambria" w:eastAsia="Cambria" w:hAnsi="Cambria" w:cs="Cambria"/>
                <w:b/>
                <w:color w:val="000000"/>
                <w:sz w:val="16"/>
                <w:szCs w:val="16"/>
              </w:rPr>
            </w:pPr>
            <w:r>
              <w:rPr>
                <w:rFonts w:ascii="Cambria" w:eastAsia="Cambria" w:hAnsi="Cambria" w:cs="Cambria"/>
                <w:color w:val="000000"/>
                <w:sz w:val="16"/>
                <w:szCs w:val="16"/>
              </w:rPr>
              <w:t xml:space="preserve">© The Author(s). 2019 </w:t>
            </w:r>
            <w:r>
              <w:rPr>
                <w:rFonts w:ascii="Cambria" w:eastAsia="Cambria" w:hAnsi="Cambria" w:cs="Cambria"/>
                <w:b/>
                <w:color w:val="000000"/>
                <w:sz w:val="16"/>
                <w:szCs w:val="16"/>
              </w:rPr>
              <w:t>Open Access</w:t>
            </w:r>
          </w:p>
          <w:p w14:paraId="289C5A77" w14:textId="77777777" w:rsidR="00244D84" w:rsidRDefault="003814EC">
            <w:pPr>
              <w:pBdr>
                <w:top w:val="nil"/>
                <w:left w:val="nil"/>
                <w:bottom w:val="nil"/>
                <w:right w:val="nil"/>
                <w:between w:val="nil"/>
              </w:pBdr>
              <w:ind w:left="-111" w:right="81"/>
              <w:rPr>
                <w:rFonts w:ascii="Cambria" w:eastAsia="Cambria" w:hAnsi="Cambria" w:cs="Cambria"/>
                <w:i/>
                <w:color w:val="000000"/>
                <w:sz w:val="16"/>
                <w:szCs w:val="16"/>
              </w:rPr>
            </w:pPr>
            <w:r>
              <w:rPr>
                <w:rFonts w:ascii="Cambria" w:eastAsia="Cambria" w:hAnsi="Cambria" w:cs="Cambria"/>
                <w:color w:val="000000"/>
                <w:sz w:val="16"/>
                <w:szCs w:val="16"/>
              </w:rPr>
              <w:t xml:space="preserve">Artikel </w:t>
            </w:r>
            <w:proofErr w:type="spellStart"/>
            <w:r>
              <w:rPr>
                <w:rFonts w:ascii="Cambria" w:eastAsia="Cambria" w:hAnsi="Cambria" w:cs="Cambria"/>
                <w:color w:val="000000"/>
                <w:sz w:val="16"/>
                <w:szCs w:val="16"/>
              </w:rPr>
              <w:t>ini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telah</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didistribusikan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berdasarkan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atas</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ketentuan</w:t>
            </w:r>
            <w:proofErr w:type="spellEnd"/>
            <w:r>
              <w:rPr>
                <w:rFonts w:ascii="Cambria" w:eastAsia="Cambria" w:hAnsi="Cambria" w:cs="Cambria"/>
                <w:color w:val="000000"/>
                <w:sz w:val="16"/>
                <w:szCs w:val="16"/>
              </w:rPr>
              <w:t xml:space="preserve"> </w:t>
            </w:r>
            <w:proofErr w:type="spellStart"/>
            <w:r>
              <w:rPr>
                <w:rFonts w:ascii="Cambria" w:eastAsia="Cambria" w:hAnsi="Cambria" w:cs="Cambria"/>
                <w:i/>
                <w:color w:val="000000"/>
                <w:sz w:val="16"/>
                <w:szCs w:val="16"/>
              </w:rPr>
              <w:t>Lisensi</w:t>
            </w:r>
            <w:proofErr w:type="spellEnd"/>
            <w:r>
              <w:rPr>
                <w:rFonts w:ascii="Cambria" w:eastAsia="Cambria" w:hAnsi="Cambria" w:cs="Cambria"/>
                <w:i/>
                <w:color w:val="000000"/>
                <w:sz w:val="16"/>
                <w:szCs w:val="16"/>
              </w:rPr>
              <w:t xml:space="preserve"> </w:t>
            </w:r>
            <w:proofErr w:type="spellStart"/>
            <w:r>
              <w:rPr>
                <w:rFonts w:ascii="Cambria" w:eastAsia="Cambria" w:hAnsi="Cambria" w:cs="Cambria"/>
                <w:i/>
                <w:color w:val="000000"/>
                <w:sz w:val="16"/>
                <w:szCs w:val="16"/>
              </w:rPr>
              <w:t>Internasional</w:t>
            </w:r>
            <w:proofErr w:type="spellEnd"/>
            <w:r>
              <w:rPr>
                <w:rFonts w:ascii="Cambria" w:eastAsia="Cambria" w:hAnsi="Cambria" w:cs="Cambria"/>
                <w:i/>
                <w:color w:val="000000"/>
                <w:sz w:val="16"/>
                <w:szCs w:val="16"/>
              </w:rPr>
              <w:t xml:space="preserve"> Creative Commons Attribution</w:t>
            </w:r>
            <w:r>
              <w:rPr>
                <w:rFonts w:ascii="Cambria" w:eastAsia="Cambria" w:hAnsi="Cambria" w:cs="Cambria"/>
                <w:color w:val="000000"/>
                <w:sz w:val="16"/>
                <w:szCs w:val="16"/>
              </w:rPr>
              <w:t xml:space="preserve"> </w:t>
            </w:r>
            <w:r>
              <w:rPr>
                <w:rFonts w:ascii="Cambria" w:eastAsia="Cambria" w:hAnsi="Cambria" w:cs="Cambria"/>
                <w:i/>
                <w:color w:val="000000"/>
                <w:sz w:val="16"/>
                <w:szCs w:val="16"/>
              </w:rPr>
              <w:t>4.0</w:t>
            </w:r>
            <w:r>
              <w:rPr>
                <w:noProof/>
              </w:rPr>
              <w:drawing>
                <wp:anchor distT="0" distB="0" distL="114300" distR="114300" simplePos="0" relativeHeight="251658240" behindDoc="0" locked="0" layoutInCell="1" hidden="0" allowOverlap="1" wp14:anchorId="21466B60" wp14:editId="2591FF51">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image1.png"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1.png" descr="What if? Creative Commons Certification"/>
                          <pic:cNvPicPr preferRelativeResize="0"/>
                        </pic:nvPicPr>
                        <pic:blipFill>
                          <a:blip r:embed="rId17"/>
                          <a:srcRect/>
                          <a:stretch>
                            <a:fillRect/>
                          </a:stretch>
                        </pic:blipFill>
                        <pic:spPr>
                          <a:xfrm>
                            <a:off x="0" y="0"/>
                            <a:ext cx="821055" cy="291465"/>
                          </a:xfrm>
                          <a:prstGeom prst="rect">
                            <a:avLst/>
                          </a:prstGeom>
                          <a:ln/>
                        </pic:spPr>
                      </pic:pic>
                    </a:graphicData>
                  </a:graphic>
                </wp:anchor>
              </w:drawing>
            </w:r>
          </w:p>
          <w:p w14:paraId="114751F0" w14:textId="77777777" w:rsidR="00244D84" w:rsidRDefault="00244D84">
            <w:pPr>
              <w:pBdr>
                <w:top w:val="nil"/>
                <w:left w:val="nil"/>
                <w:bottom w:val="nil"/>
                <w:right w:val="nil"/>
                <w:between w:val="nil"/>
              </w:pBdr>
              <w:ind w:left="-111" w:right="-2"/>
              <w:jc w:val="both"/>
              <w:rPr>
                <w:rFonts w:ascii="Cambria" w:eastAsia="Cambria" w:hAnsi="Cambria" w:cs="Cambria"/>
                <w:color w:val="000000"/>
                <w:sz w:val="20"/>
                <w:szCs w:val="20"/>
              </w:rPr>
            </w:pPr>
          </w:p>
        </w:tc>
        <w:tc>
          <w:tcPr>
            <w:tcW w:w="6735" w:type="dxa"/>
            <w:tcBorders>
              <w:top w:val="nil"/>
              <w:left w:val="single" w:sz="24" w:space="0" w:color="A6A6A6"/>
              <w:bottom w:val="nil"/>
              <w:right w:val="nil"/>
            </w:tcBorders>
            <w:shd w:val="clear" w:color="auto" w:fill="F2F2F2" w:themeFill="background1" w:themeFillShade="F2"/>
          </w:tcPr>
          <w:p w14:paraId="781F1B55" w14:textId="77777777" w:rsidR="00244D84" w:rsidRDefault="003814EC" w:rsidP="00A319DD">
            <w:pPr>
              <w:pStyle w:val="Heading1"/>
              <w:shd w:val="clear" w:color="auto" w:fill="F2F2F2"/>
              <w:spacing w:before="0" w:after="120"/>
              <w:ind w:left="96" w:right="-116"/>
              <w:outlineLvl w:val="0"/>
              <w:rPr>
                <w:rFonts w:ascii="Cambria" w:eastAsia="Cambria" w:hAnsi="Cambria" w:cs="Cambria"/>
                <w:b/>
                <w:color w:val="000000"/>
                <w:sz w:val="28"/>
                <w:szCs w:val="28"/>
              </w:rPr>
            </w:pPr>
            <w:r>
              <w:rPr>
                <w:rFonts w:ascii="Cambria" w:eastAsia="Cambria" w:hAnsi="Cambria" w:cs="Cambria"/>
                <w:b/>
                <w:color w:val="000000"/>
                <w:sz w:val="28"/>
                <w:szCs w:val="28"/>
              </w:rPr>
              <w:t>Abstract</w:t>
            </w:r>
          </w:p>
          <w:p w14:paraId="5C688017" w14:textId="77777777" w:rsidR="00AE2391" w:rsidRPr="004F482C" w:rsidRDefault="00AE2391" w:rsidP="00A319DD">
            <w:pPr>
              <w:jc w:val="both"/>
              <w:rPr>
                <w:rFonts w:cstheme="minorHAnsi"/>
                <w:sz w:val="18"/>
                <w:szCs w:val="18"/>
              </w:rPr>
            </w:pPr>
            <w:r w:rsidRPr="006D4B2C">
              <w:rPr>
                <w:rFonts w:ascii="Cambria" w:hAnsi="Cambria" w:cstheme="minorHAnsi"/>
                <w:sz w:val="20"/>
                <w:szCs w:val="20"/>
                <w:lang w:val="id-ID"/>
              </w:rPr>
              <w:t>Diabetics are at risk for coronary heart disease due to impaired lipid profile. The lipid profile of diabetics can be controlled by increasing the consumption of high-fiber foods and antioxidants</w:t>
            </w:r>
            <w:r w:rsidRPr="006D4B2C">
              <w:rPr>
                <w:rFonts w:ascii="Cambria" w:hAnsi="Cambria" w:cstheme="minorHAnsi"/>
                <w:sz w:val="20"/>
                <w:szCs w:val="20"/>
              </w:rPr>
              <w:t xml:space="preserve">, such as </w:t>
            </w:r>
            <w:r w:rsidRPr="006D4B2C">
              <w:rPr>
                <w:rFonts w:ascii="Cambria" w:hAnsi="Cambria" w:cstheme="minorHAnsi"/>
                <w:sz w:val="20"/>
                <w:szCs w:val="20"/>
                <w:lang w:val="id-ID"/>
              </w:rPr>
              <w:t>sorghum which can increase insulin sensitivity and improve lipid profile.</w:t>
            </w:r>
            <w:r w:rsidRPr="006D4B2C">
              <w:rPr>
                <w:rFonts w:ascii="Cambria" w:hAnsi="Cambria" w:cstheme="minorHAnsi"/>
                <w:sz w:val="20"/>
                <w:szCs w:val="20"/>
              </w:rPr>
              <w:t xml:space="preserve"> </w:t>
            </w:r>
            <w:r w:rsidRPr="006D4B2C">
              <w:rPr>
                <w:rFonts w:ascii="Cambria" w:hAnsi="Cambria" w:cstheme="minorHAnsi"/>
                <w:sz w:val="20"/>
                <w:szCs w:val="20"/>
                <w:lang w:val="id-ID"/>
              </w:rPr>
              <w:t>This study aims to assess the effects of the administration of sorghum flour on lipid profile and AIP in diabetic rats</w:t>
            </w:r>
            <w:r w:rsidRPr="006D4B2C">
              <w:rPr>
                <w:rFonts w:ascii="Cambria" w:hAnsi="Cambria" w:cstheme="minorHAnsi"/>
                <w:sz w:val="20"/>
                <w:szCs w:val="20"/>
              </w:rPr>
              <w:t>.</w:t>
            </w:r>
            <w:r w:rsidRPr="006D4B2C">
              <w:rPr>
                <w:rFonts w:ascii="Cambria" w:hAnsi="Cambria" w:cstheme="minorHAnsi"/>
                <w:sz w:val="20"/>
                <w:szCs w:val="20"/>
                <w:lang w:val="id-ID"/>
              </w:rPr>
              <w:t xml:space="preserve"> </w:t>
            </w:r>
            <w:r>
              <w:rPr>
                <w:rFonts w:ascii="Cambria" w:hAnsi="Cambria" w:cstheme="minorHAnsi"/>
                <w:sz w:val="20"/>
                <w:szCs w:val="20"/>
              </w:rPr>
              <w:t xml:space="preserve">Eighteen </w:t>
            </w:r>
            <w:r w:rsidRPr="006D4B2C">
              <w:rPr>
                <w:rFonts w:ascii="Cambria" w:hAnsi="Cambria" w:cstheme="minorHAnsi"/>
                <w:sz w:val="20"/>
                <w:szCs w:val="20"/>
                <w:lang w:val="id-ID"/>
              </w:rPr>
              <w:t xml:space="preserve">males Wistar rat were divided into 3 groups: negative control group (K-), positive control group (K+), and sorghum flour experimental group (P) (dose 5 gram/rat/day for 28 days). </w:t>
            </w:r>
            <w:r w:rsidRPr="006D4B2C">
              <w:rPr>
                <w:rFonts w:ascii="Cambria" w:hAnsi="Cambria" w:cstheme="minorHAnsi"/>
                <w:sz w:val="20"/>
                <w:szCs w:val="20"/>
              </w:rPr>
              <w:t>Diabetic</w:t>
            </w:r>
            <w:r w:rsidRPr="006D4B2C">
              <w:rPr>
                <w:rFonts w:ascii="Cambria" w:hAnsi="Cambria" w:cstheme="minorHAnsi"/>
                <w:sz w:val="20"/>
                <w:szCs w:val="20"/>
                <w:lang w:val="id-ID"/>
              </w:rPr>
              <w:t xml:space="preserve"> conditioning was performed with STZ and NA. Triglyceride was measured by GPO-PAP method. Total cholesterol, LDL and HDL levels were measured by CHOD-PAP method. The atherogenic index of plasma (AIP) was calculated from the log(triglyceride/HDL). Data were analyzed by paired t-test, Wilcoxon, Anova, and Kruskal Wallis.</w:t>
            </w:r>
            <w:r w:rsidRPr="006D4B2C">
              <w:rPr>
                <w:rFonts w:ascii="Cambria" w:hAnsi="Cambria" w:cstheme="minorHAnsi"/>
                <w:sz w:val="20"/>
                <w:szCs w:val="20"/>
              </w:rPr>
              <w:t xml:space="preserve"> </w:t>
            </w:r>
            <w:r w:rsidRPr="006D4B2C">
              <w:rPr>
                <w:rFonts w:ascii="Cambria" w:hAnsi="Cambria" w:cstheme="minorHAnsi"/>
                <w:sz w:val="20"/>
                <w:szCs w:val="20"/>
                <w:lang w:val="id-ID"/>
              </w:rPr>
              <w:t>There were significant differences between before and after treatment groups in total cholesterol (</w:t>
            </w:r>
            <w:r w:rsidRPr="006D4B2C">
              <w:rPr>
                <w:rFonts w:ascii="Cambria" w:hAnsi="Cambria" w:cstheme="minorHAnsi"/>
                <w:i/>
                <w:iCs/>
                <w:sz w:val="20"/>
                <w:szCs w:val="20"/>
                <w:lang w:val="id-ID"/>
              </w:rPr>
              <w:t>p</w:t>
            </w:r>
            <w:r w:rsidRPr="006D4B2C">
              <w:rPr>
                <w:rFonts w:ascii="Cambria" w:hAnsi="Cambria" w:cstheme="minorHAnsi"/>
                <w:sz w:val="20"/>
                <w:szCs w:val="20"/>
                <w:lang w:val="id-ID"/>
              </w:rPr>
              <w:t>=0,003), triglyceride (</w:t>
            </w:r>
            <w:r w:rsidRPr="006D4B2C">
              <w:rPr>
                <w:rFonts w:ascii="Cambria" w:hAnsi="Cambria" w:cstheme="minorHAnsi"/>
                <w:i/>
                <w:iCs/>
                <w:sz w:val="20"/>
                <w:szCs w:val="20"/>
                <w:lang w:val="id-ID"/>
              </w:rPr>
              <w:t>p</w:t>
            </w:r>
            <w:r w:rsidRPr="006D4B2C">
              <w:rPr>
                <w:rFonts w:ascii="Cambria" w:hAnsi="Cambria" w:cstheme="minorHAnsi"/>
                <w:sz w:val="20"/>
                <w:szCs w:val="20"/>
                <w:lang w:val="id-ID"/>
              </w:rPr>
              <w:t>=0,002), LDL (</w:t>
            </w:r>
            <w:r w:rsidRPr="006D4B2C">
              <w:rPr>
                <w:rFonts w:ascii="Cambria" w:hAnsi="Cambria" w:cstheme="minorHAnsi"/>
                <w:i/>
                <w:iCs/>
                <w:sz w:val="20"/>
                <w:szCs w:val="20"/>
                <w:lang w:val="id-ID"/>
              </w:rPr>
              <w:t>p</w:t>
            </w:r>
            <w:r w:rsidRPr="006D4B2C">
              <w:rPr>
                <w:rFonts w:ascii="Cambria" w:hAnsi="Cambria" w:cstheme="minorHAnsi"/>
                <w:sz w:val="20"/>
                <w:szCs w:val="20"/>
                <w:lang w:val="id-ID"/>
              </w:rPr>
              <w:t>=0,003), HDL (</w:t>
            </w:r>
            <w:r w:rsidRPr="006D4B2C">
              <w:rPr>
                <w:rFonts w:ascii="Cambria" w:hAnsi="Cambria" w:cstheme="minorHAnsi"/>
                <w:i/>
                <w:iCs/>
                <w:sz w:val="20"/>
                <w:szCs w:val="20"/>
                <w:lang w:val="id-ID"/>
              </w:rPr>
              <w:t>p</w:t>
            </w:r>
            <w:r w:rsidRPr="006D4B2C">
              <w:rPr>
                <w:rFonts w:ascii="Cambria" w:hAnsi="Cambria" w:cstheme="minorHAnsi"/>
                <w:sz w:val="20"/>
                <w:szCs w:val="20"/>
                <w:lang w:val="id-ID"/>
              </w:rPr>
              <w:t xml:space="preserve">=0,002), and </w:t>
            </w:r>
            <w:r>
              <w:rPr>
                <w:rFonts w:ascii="Cambria" w:hAnsi="Cambria" w:cstheme="minorHAnsi"/>
                <w:sz w:val="20"/>
                <w:szCs w:val="20"/>
              </w:rPr>
              <w:t>AI</w:t>
            </w:r>
            <w:r w:rsidRPr="006D4B2C">
              <w:rPr>
                <w:rFonts w:ascii="Cambria" w:hAnsi="Cambria" w:cstheme="minorHAnsi"/>
                <w:sz w:val="20"/>
                <w:szCs w:val="20"/>
                <w:lang w:val="id-ID"/>
              </w:rPr>
              <w:t>P (</w:t>
            </w:r>
            <w:r w:rsidRPr="006D4B2C">
              <w:rPr>
                <w:rFonts w:ascii="Cambria" w:hAnsi="Cambria" w:cstheme="minorHAnsi"/>
                <w:i/>
                <w:iCs/>
                <w:sz w:val="20"/>
                <w:szCs w:val="20"/>
                <w:lang w:val="id-ID"/>
              </w:rPr>
              <w:t>p</w:t>
            </w:r>
            <w:r w:rsidRPr="006D4B2C">
              <w:rPr>
                <w:rFonts w:ascii="Cambria" w:hAnsi="Cambria" w:cstheme="minorHAnsi"/>
                <w:sz w:val="20"/>
                <w:szCs w:val="20"/>
                <w:lang w:val="id-ID"/>
              </w:rPr>
              <w:t xml:space="preserve">=0,001). Total cholesterol, triglyceride, LDL, and </w:t>
            </w:r>
            <w:r>
              <w:rPr>
                <w:rFonts w:ascii="Cambria" w:hAnsi="Cambria" w:cstheme="minorHAnsi"/>
                <w:sz w:val="20"/>
                <w:szCs w:val="20"/>
              </w:rPr>
              <w:t>AI</w:t>
            </w:r>
            <w:r w:rsidRPr="006D4B2C">
              <w:rPr>
                <w:rFonts w:ascii="Cambria" w:hAnsi="Cambria" w:cstheme="minorHAnsi"/>
                <w:sz w:val="20"/>
                <w:szCs w:val="20"/>
                <w:lang w:val="id-ID"/>
              </w:rPr>
              <w:t>P decreased 79,2 mg/dl, 46,68 mg/dl, 43,81 mg/dl, and 0,45 after treatment. HDL levels increased 55,22 mg/dl after treatment.</w:t>
            </w:r>
            <w:r w:rsidRPr="006D4B2C">
              <w:rPr>
                <w:rFonts w:ascii="Cambria" w:hAnsi="Cambria" w:cstheme="minorHAnsi"/>
                <w:sz w:val="20"/>
                <w:szCs w:val="20"/>
              </w:rPr>
              <w:t xml:space="preserve"> </w:t>
            </w:r>
            <w:r w:rsidRPr="006D4B2C">
              <w:rPr>
                <w:rFonts w:ascii="Cambria" w:hAnsi="Cambria" w:cstheme="minorHAnsi"/>
                <w:sz w:val="20"/>
                <w:szCs w:val="20"/>
                <w:lang w:val="id-ID"/>
              </w:rPr>
              <w:t xml:space="preserve">Sorghum flour can improve lipid profile and </w:t>
            </w:r>
            <w:r>
              <w:rPr>
                <w:rFonts w:ascii="Cambria" w:hAnsi="Cambria" w:cstheme="minorHAnsi"/>
                <w:sz w:val="20"/>
                <w:szCs w:val="20"/>
              </w:rPr>
              <w:t xml:space="preserve">the </w:t>
            </w:r>
            <w:r w:rsidRPr="006D4B2C">
              <w:rPr>
                <w:rFonts w:ascii="Cambria" w:hAnsi="Cambria" w:cstheme="minorHAnsi"/>
                <w:sz w:val="20"/>
                <w:szCs w:val="20"/>
                <w:lang w:val="id-ID"/>
              </w:rPr>
              <w:t>IAP in diabetic rats</w:t>
            </w:r>
            <w:r>
              <w:rPr>
                <w:rFonts w:ascii="Cambria" w:hAnsi="Cambria" w:cstheme="minorHAnsi"/>
                <w:sz w:val="20"/>
                <w:szCs w:val="20"/>
              </w:rPr>
              <w:t>.</w:t>
            </w:r>
          </w:p>
          <w:p w14:paraId="3006E812" w14:textId="77777777" w:rsidR="00AE2391" w:rsidRDefault="00AE2391" w:rsidP="00A319DD">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Pr>
                <w:rFonts w:ascii="Cambria" w:eastAsia="Cambria" w:hAnsi="Cambria" w:cs="Cambria"/>
                <w:b/>
                <w:color w:val="000000"/>
                <w:sz w:val="20"/>
                <w:szCs w:val="20"/>
              </w:rPr>
              <w:t xml:space="preserve">Keywords: </w:t>
            </w:r>
            <w:r>
              <w:rPr>
                <w:rFonts w:ascii="Cambria" w:eastAsia="Cambria" w:hAnsi="Cambria" w:cs="Cambria"/>
                <w:color w:val="000000"/>
                <w:sz w:val="20"/>
                <w:szCs w:val="20"/>
              </w:rPr>
              <w:t>diabetes mellitus, sorghum flour, lipid profile</w:t>
            </w:r>
          </w:p>
          <w:p w14:paraId="37133243" w14:textId="77777777" w:rsidR="005D7310" w:rsidRDefault="005D7310" w:rsidP="005D7310">
            <w:pPr>
              <w:pStyle w:val="Heading1"/>
              <w:shd w:val="clear" w:color="auto" w:fill="F2F2F2"/>
              <w:spacing w:before="0" w:after="120"/>
              <w:ind w:right="-115"/>
              <w:outlineLvl w:val="0"/>
              <w:rPr>
                <w:rFonts w:ascii="Cambria" w:eastAsia="Cambria" w:hAnsi="Cambria" w:cs="Cambria"/>
                <w:b/>
                <w:color w:val="000000"/>
                <w:sz w:val="28"/>
                <w:szCs w:val="28"/>
              </w:rPr>
            </w:pPr>
            <w:r>
              <w:rPr>
                <w:rFonts w:ascii="Cambria" w:eastAsia="Cambria" w:hAnsi="Cambria" w:cs="Cambria"/>
                <w:b/>
                <w:color w:val="000000"/>
                <w:sz w:val="28"/>
                <w:szCs w:val="28"/>
              </w:rPr>
              <w:t xml:space="preserve"> </w:t>
            </w:r>
          </w:p>
          <w:p w14:paraId="218BA976" w14:textId="24E317C2" w:rsidR="00AE2391" w:rsidRDefault="00AE2391" w:rsidP="005D7310">
            <w:pPr>
              <w:pStyle w:val="Heading1"/>
              <w:shd w:val="clear" w:color="auto" w:fill="F2F2F2"/>
              <w:spacing w:before="0" w:after="120"/>
              <w:ind w:right="-115"/>
              <w:outlineLvl w:val="0"/>
              <w:rPr>
                <w:rFonts w:ascii="Cambria" w:eastAsia="Cambria" w:hAnsi="Cambria" w:cs="Cambria"/>
                <w:b/>
                <w:color w:val="000000"/>
                <w:sz w:val="28"/>
                <w:szCs w:val="28"/>
              </w:rPr>
            </w:pPr>
            <w:proofErr w:type="spellStart"/>
            <w:r>
              <w:rPr>
                <w:rFonts w:ascii="Cambria" w:eastAsia="Cambria" w:hAnsi="Cambria" w:cs="Cambria"/>
                <w:b/>
                <w:color w:val="000000"/>
                <w:sz w:val="28"/>
                <w:szCs w:val="28"/>
              </w:rPr>
              <w:t>Abstrak</w:t>
            </w:r>
            <w:proofErr w:type="spellEnd"/>
          </w:p>
          <w:p w14:paraId="05F0D402" w14:textId="77777777" w:rsidR="00AE2391" w:rsidRPr="004F482C" w:rsidRDefault="00AE2391" w:rsidP="00A319DD">
            <w:pPr>
              <w:jc w:val="both"/>
              <w:rPr>
                <w:rFonts w:ascii="Cambria" w:hAnsi="Cambria" w:cstheme="minorHAnsi"/>
                <w:sz w:val="20"/>
                <w:szCs w:val="20"/>
                <w:lang w:val="id-ID"/>
              </w:rPr>
            </w:pPr>
            <w:r w:rsidRPr="004F482C">
              <w:rPr>
                <w:rFonts w:ascii="Cambria" w:hAnsi="Cambria" w:cstheme="minorHAnsi"/>
                <w:sz w:val="20"/>
                <w:szCs w:val="20"/>
                <w:lang w:val="id-ID"/>
              </w:rPr>
              <w:t>Penderita diabetes berisiko terkena penyakit jantung koroner akibat gangguan profil lipid. Profil lipid penderita diabetes dapat dikontrol dengan peningkatan konsumsi pangan tinggi serat dan antioksidan berupa sorgum yang mampu meningkatkan sensitivitas insulin dan memperbaiki profil lipid.</w:t>
            </w:r>
            <w:r w:rsidRPr="004F482C">
              <w:rPr>
                <w:rFonts w:ascii="Cambria" w:hAnsi="Cambria" w:cstheme="minorHAnsi"/>
                <w:sz w:val="20"/>
                <w:szCs w:val="20"/>
              </w:rPr>
              <w:t xml:space="preserve"> </w:t>
            </w:r>
            <w:proofErr w:type="spellStart"/>
            <w:r w:rsidRPr="004F482C">
              <w:rPr>
                <w:rFonts w:ascii="Cambria" w:hAnsi="Cambria" w:cstheme="minorHAnsi"/>
                <w:sz w:val="20"/>
                <w:szCs w:val="20"/>
              </w:rPr>
              <w:t>Penelitian</w:t>
            </w:r>
            <w:proofErr w:type="spellEnd"/>
            <w:r w:rsidRPr="004F482C">
              <w:rPr>
                <w:rFonts w:ascii="Cambria" w:hAnsi="Cambria" w:cstheme="minorHAnsi"/>
                <w:sz w:val="20"/>
                <w:szCs w:val="20"/>
              </w:rPr>
              <w:t xml:space="preserve"> </w:t>
            </w:r>
            <w:proofErr w:type="spellStart"/>
            <w:r w:rsidRPr="004F482C">
              <w:rPr>
                <w:rFonts w:ascii="Cambria" w:hAnsi="Cambria" w:cstheme="minorHAnsi"/>
                <w:sz w:val="20"/>
                <w:szCs w:val="20"/>
              </w:rPr>
              <w:t>ini</w:t>
            </w:r>
            <w:proofErr w:type="spellEnd"/>
            <w:r w:rsidRPr="004F482C">
              <w:rPr>
                <w:rFonts w:ascii="Cambria" w:hAnsi="Cambria" w:cstheme="minorHAnsi"/>
                <w:sz w:val="20"/>
                <w:szCs w:val="20"/>
              </w:rPr>
              <w:t xml:space="preserve"> </w:t>
            </w:r>
            <w:proofErr w:type="spellStart"/>
            <w:r w:rsidRPr="004F482C">
              <w:rPr>
                <w:rFonts w:ascii="Cambria" w:hAnsi="Cambria" w:cstheme="minorHAnsi"/>
                <w:sz w:val="20"/>
                <w:szCs w:val="20"/>
              </w:rPr>
              <w:t>bertujuan</w:t>
            </w:r>
            <w:proofErr w:type="spellEnd"/>
            <w:r w:rsidRPr="004F482C">
              <w:rPr>
                <w:rFonts w:ascii="Cambria" w:hAnsi="Cambria" w:cstheme="minorHAnsi"/>
                <w:sz w:val="20"/>
                <w:szCs w:val="20"/>
              </w:rPr>
              <w:t xml:space="preserve"> m</w:t>
            </w:r>
            <w:r w:rsidRPr="004F482C">
              <w:rPr>
                <w:rFonts w:ascii="Cambria" w:hAnsi="Cambria" w:cstheme="minorHAnsi"/>
                <w:sz w:val="20"/>
                <w:szCs w:val="20"/>
                <w:lang w:val="id-ID"/>
              </w:rPr>
              <w:t>engetahui pengaruh pemberian tepung sorgum terhadap profil lipid dan nilai indeks aterogenik plasma (IAP) tikus diabetes.</w:t>
            </w:r>
            <w:r w:rsidRPr="004F482C">
              <w:rPr>
                <w:rFonts w:ascii="Cambria" w:hAnsi="Cambria" w:cstheme="minorHAnsi"/>
                <w:sz w:val="20"/>
                <w:szCs w:val="20"/>
              </w:rPr>
              <w:t xml:space="preserve"> </w:t>
            </w:r>
            <w:r w:rsidRPr="004F482C">
              <w:rPr>
                <w:rFonts w:ascii="Cambria" w:hAnsi="Cambria" w:cstheme="minorHAnsi"/>
                <w:sz w:val="20"/>
                <w:szCs w:val="20"/>
                <w:lang w:val="id-ID"/>
              </w:rPr>
              <w:t xml:space="preserve">Penelitian jenis </w:t>
            </w:r>
            <w:r w:rsidRPr="004F482C">
              <w:rPr>
                <w:rFonts w:ascii="Cambria" w:hAnsi="Cambria" w:cstheme="minorHAnsi"/>
                <w:i/>
                <w:iCs/>
                <w:sz w:val="20"/>
                <w:szCs w:val="20"/>
                <w:lang w:val="id-ID"/>
              </w:rPr>
              <w:t>true experimental pre-post test with randomized control group design</w:t>
            </w:r>
            <w:r w:rsidRPr="004F482C">
              <w:rPr>
                <w:rFonts w:ascii="Cambria" w:hAnsi="Cambria" w:cstheme="minorHAnsi"/>
                <w:sz w:val="20"/>
                <w:szCs w:val="20"/>
                <w:lang w:val="id-ID"/>
              </w:rPr>
              <w:t>. Tikus Wistar jantan 18 ekor dibagi ke 3 kelompok yaitu kontrol negati</w:t>
            </w:r>
            <w:r w:rsidRPr="004F482C">
              <w:rPr>
                <w:rFonts w:ascii="Cambria" w:hAnsi="Cambria" w:cstheme="minorHAnsi"/>
                <w:sz w:val="20"/>
                <w:szCs w:val="20"/>
              </w:rPr>
              <w:t>f</w:t>
            </w:r>
            <w:r w:rsidRPr="004F482C">
              <w:rPr>
                <w:rFonts w:ascii="Cambria" w:hAnsi="Cambria" w:cstheme="minorHAnsi"/>
                <w:sz w:val="20"/>
                <w:szCs w:val="20"/>
                <w:lang w:val="id-ID"/>
              </w:rPr>
              <w:t xml:space="preserve"> (K-), kontrol positif (K+) dan perlakuan (P) tepung sorgum (dosis 5 gram/tikus/hari selama 28 hari). Pengkondisian DM dengan STZ dan NA. </w:t>
            </w:r>
            <w:r w:rsidRPr="004F482C">
              <w:rPr>
                <w:rFonts w:ascii="Cambria" w:hAnsi="Cambria" w:cstheme="minorHAnsi"/>
                <w:sz w:val="20"/>
                <w:szCs w:val="20"/>
              </w:rPr>
              <w:t>K</w:t>
            </w:r>
            <w:r w:rsidRPr="004F482C">
              <w:rPr>
                <w:rFonts w:ascii="Cambria" w:hAnsi="Cambria" w:cstheme="minorHAnsi"/>
                <w:sz w:val="20"/>
                <w:szCs w:val="20"/>
                <w:lang w:val="id-ID"/>
              </w:rPr>
              <w:t>adar trigliserida</w:t>
            </w:r>
            <w:r w:rsidRPr="004F482C">
              <w:rPr>
                <w:rFonts w:ascii="Cambria" w:hAnsi="Cambria" w:cstheme="minorHAnsi"/>
                <w:sz w:val="20"/>
                <w:szCs w:val="20"/>
              </w:rPr>
              <w:t xml:space="preserve"> (TG)</w:t>
            </w:r>
            <w:r w:rsidRPr="004F482C">
              <w:rPr>
                <w:rFonts w:ascii="Cambria" w:hAnsi="Cambria" w:cstheme="minorHAnsi"/>
                <w:sz w:val="20"/>
                <w:szCs w:val="20"/>
                <w:lang w:val="id-ID"/>
              </w:rPr>
              <w:t xml:space="preserve"> diukur dengan metode GPO-PAP. Kadar kolesterol total, LDL, dan HDL diukur dengan metode CHOD-PAP. Sedangkan, Indeks Aterogenik Plasma (IAP) dihitung dari log(TG/HDL). Analisis data menggunakan uji </w:t>
            </w:r>
            <w:r w:rsidRPr="004F482C">
              <w:rPr>
                <w:rFonts w:ascii="Cambria" w:hAnsi="Cambria" w:cstheme="minorHAnsi"/>
                <w:i/>
                <w:iCs/>
                <w:sz w:val="20"/>
                <w:szCs w:val="20"/>
                <w:lang w:val="id-ID"/>
              </w:rPr>
              <w:t>paired t test, Wilcoxon</w:t>
            </w:r>
            <w:r w:rsidRPr="004F482C">
              <w:rPr>
                <w:rFonts w:ascii="Cambria" w:hAnsi="Cambria" w:cstheme="minorHAnsi"/>
                <w:sz w:val="20"/>
                <w:szCs w:val="20"/>
                <w:lang w:val="id-ID"/>
              </w:rPr>
              <w:t xml:space="preserve">, Anova, dan </w:t>
            </w:r>
            <w:r w:rsidRPr="004F482C">
              <w:rPr>
                <w:rFonts w:ascii="Cambria" w:hAnsi="Cambria" w:cstheme="minorHAnsi"/>
                <w:i/>
                <w:iCs/>
                <w:sz w:val="20"/>
                <w:szCs w:val="20"/>
                <w:lang w:val="id-ID"/>
              </w:rPr>
              <w:t>Kruskal Wallis</w:t>
            </w:r>
            <w:r w:rsidRPr="004F482C">
              <w:rPr>
                <w:rFonts w:ascii="Cambria" w:hAnsi="Cambria" w:cstheme="minorHAnsi"/>
                <w:sz w:val="20"/>
                <w:szCs w:val="20"/>
                <w:lang w:val="id-ID"/>
              </w:rPr>
              <w:t>. Hasil penelitian menunjukkan terdapat perbedaan yang signifikan antar kelompok sebelum dan setelah intervensi pada kadar kolesterol total (</w:t>
            </w:r>
            <w:r w:rsidRPr="004F482C">
              <w:rPr>
                <w:rFonts w:ascii="Cambria" w:hAnsi="Cambria" w:cstheme="minorHAnsi"/>
                <w:i/>
                <w:iCs/>
                <w:sz w:val="20"/>
                <w:szCs w:val="20"/>
                <w:lang w:val="id-ID"/>
              </w:rPr>
              <w:t>p</w:t>
            </w:r>
            <w:r w:rsidRPr="004F482C">
              <w:rPr>
                <w:rFonts w:ascii="Cambria" w:hAnsi="Cambria" w:cstheme="minorHAnsi"/>
                <w:sz w:val="20"/>
                <w:szCs w:val="20"/>
                <w:lang w:val="id-ID"/>
              </w:rPr>
              <w:t>=0,003), trigliserida (</w:t>
            </w:r>
            <w:r w:rsidRPr="004F482C">
              <w:rPr>
                <w:rFonts w:ascii="Cambria" w:hAnsi="Cambria" w:cstheme="minorHAnsi"/>
                <w:i/>
                <w:iCs/>
                <w:sz w:val="20"/>
                <w:szCs w:val="20"/>
                <w:lang w:val="id-ID"/>
              </w:rPr>
              <w:t>p</w:t>
            </w:r>
            <w:r w:rsidRPr="004F482C">
              <w:rPr>
                <w:rFonts w:ascii="Cambria" w:hAnsi="Cambria" w:cstheme="minorHAnsi"/>
                <w:sz w:val="20"/>
                <w:szCs w:val="20"/>
                <w:lang w:val="id-ID"/>
              </w:rPr>
              <w:t>=0,002), LDL (</w:t>
            </w:r>
            <w:r w:rsidRPr="004F482C">
              <w:rPr>
                <w:rFonts w:ascii="Cambria" w:hAnsi="Cambria" w:cstheme="minorHAnsi"/>
                <w:i/>
                <w:iCs/>
                <w:sz w:val="20"/>
                <w:szCs w:val="20"/>
                <w:lang w:val="id-ID"/>
              </w:rPr>
              <w:t>p</w:t>
            </w:r>
            <w:r w:rsidRPr="004F482C">
              <w:rPr>
                <w:rFonts w:ascii="Cambria" w:hAnsi="Cambria" w:cstheme="minorHAnsi"/>
                <w:sz w:val="20"/>
                <w:szCs w:val="20"/>
                <w:lang w:val="id-ID"/>
              </w:rPr>
              <w:t>=0,003), HDL (</w:t>
            </w:r>
            <w:r w:rsidRPr="004F482C">
              <w:rPr>
                <w:rFonts w:ascii="Cambria" w:hAnsi="Cambria" w:cstheme="minorHAnsi"/>
                <w:i/>
                <w:iCs/>
                <w:sz w:val="20"/>
                <w:szCs w:val="20"/>
                <w:lang w:val="id-ID"/>
              </w:rPr>
              <w:t>p</w:t>
            </w:r>
            <w:r w:rsidRPr="004F482C">
              <w:rPr>
                <w:rFonts w:ascii="Cambria" w:hAnsi="Cambria" w:cstheme="minorHAnsi"/>
                <w:sz w:val="20"/>
                <w:szCs w:val="20"/>
                <w:lang w:val="id-ID"/>
              </w:rPr>
              <w:t>=0,002), dan nilai IAP (</w:t>
            </w:r>
            <w:r w:rsidRPr="004F482C">
              <w:rPr>
                <w:rFonts w:ascii="Cambria" w:hAnsi="Cambria" w:cstheme="minorHAnsi"/>
                <w:i/>
                <w:iCs/>
                <w:sz w:val="20"/>
                <w:szCs w:val="20"/>
                <w:lang w:val="id-ID"/>
              </w:rPr>
              <w:t>p</w:t>
            </w:r>
            <w:r w:rsidRPr="004F482C">
              <w:rPr>
                <w:rFonts w:ascii="Cambria" w:hAnsi="Cambria" w:cstheme="minorHAnsi"/>
                <w:sz w:val="20"/>
                <w:szCs w:val="20"/>
                <w:lang w:val="id-ID"/>
              </w:rPr>
              <w:t xml:space="preserve">=0,001). Kadar kolesterol total, trigliserida, LDL, dan nilai IAP mengalami penurunan setelah intervensi sebesar 79,2 mg/dl, 46,68 mg/dl, 43,81 mg/dl, </w:t>
            </w:r>
            <w:r w:rsidRPr="004F482C">
              <w:rPr>
                <w:rFonts w:ascii="Cambria" w:hAnsi="Cambria" w:cstheme="minorHAnsi"/>
                <w:sz w:val="20"/>
                <w:szCs w:val="20"/>
                <w:lang w:val="id-ID"/>
              </w:rPr>
              <w:lastRenderedPageBreak/>
              <w:t>dan 0,45. Sedangkan kadar HDL mengalami peningkatan sebesar 55,22 mg/dl</w:t>
            </w:r>
            <w:r w:rsidRPr="004F482C">
              <w:rPr>
                <w:rFonts w:ascii="Cambria" w:hAnsi="Cambria" w:cstheme="minorHAnsi"/>
                <w:sz w:val="20"/>
                <w:szCs w:val="20"/>
              </w:rPr>
              <w:t xml:space="preserve"> </w:t>
            </w:r>
            <w:proofErr w:type="spellStart"/>
            <w:r w:rsidRPr="004F482C">
              <w:rPr>
                <w:rFonts w:ascii="Cambria" w:hAnsi="Cambria" w:cstheme="minorHAnsi"/>
                <w:sz w:val="20"/>
                <w:szCs w:val="20"/>
              </w:rPr>
              <w:t>setelah</w:t>
            </w:r>
            <w:proofErr w:type="spellEnd"/>
            <w:r w:rsidRPr="004F482C">
              <w:rPr>
                <w:rFonts w:ascii="Cambria" w:hAnsi="Cambria" w:cstheme="minorHAnsi"/>
                <w:sz w:val="20"/>
                <w:szCs w:val="20"/>
              </w:rPr>
              <w:t xml:space="preserve"> </w:t>
            </w:r>
            <w:proofErr w:type="spellStart"/>
            <w:r w:rsidRPr="004F482C">
              <w:rPr>
                <w:rFonts w:ascii="Cambria" w:hAnsi="Cambria" w:cstheme="minorHAnsi"/>
                <w:sz w:val="20"/>
                <w:szCs w:val="20"/>
              </w:rPr>
              <w:t>intervensi</w:t>
            </w:r>
            <w:proofErr w:type="spellEnd"/>
            <w:r w:rsidRPr="004F482C">
              <w:rPr>
                <w:rFonts w:ascii="Cambria" w:hAnsi="Cambria" w:cstheme="minorHAnsi"/>
                <w:sz w:val="20"/>
                <w:szCs w:val="20"/>
                <w:lang w:val="id-ID"/>
              </w:rPr>
              <w:t xml:space="preserve">. </w:t>
            </w:r>
          </w:p>
          <w:p w14:paraId="030216CA" w14:textId="77777777" w:rsidR="00244D84" w:rsidRDefault="00AE2391" w:rsidP="00A319DD">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Pr>
                <w:rFonts w:ascii="Cambria" w:eastAsia="Cambria" w:hAnsi="Cambria" w:cs="Cambria"/>
                <w:b/>
                <w:color w:val="000000"/>
                <w:sz w:val="20"/>
                <w:szCs w:val="20"/>
              </w:rPr>
              <w:t xml:space="preserve">Kata </w:t>
            </w:r>
            <w:proofErr w:type="spellStart"/>
            <w:r>
              <w:rPr>
                <w:rFonts w:ascii="Cambria" w:eastAsia="Cambria" w:hAnsi="Cambria" w:cs="Cambria"/>
                <w:b/>
                <w:color w:val="000000"/>
                <w:sz w:val="20"/>
                <w:szCs w:val="20"/>
              </w:rPr>
              <w:t>Kunci</w:t>
            </w:r>
            <w:proofErr w:type="spellEnd"/>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diabetes mellitus, </w:t>
            </w:r>
            <w:proofErr w:type="spellStart"/>
            <w:r>
              <w:rPr>
                <w:rFonts w:ascii="Cambria" w:eastAsia="Cambria" w:hAnsi="Cambria" w:cs="Cambria"/>
                <w:color w:val="000000"/>
                <w:sz w:val="20"/>
                <w:szCs w:val="20"/>
              </w:rPr>
              <w:t>tepung</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sorgum</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profil</w:t>
            </w:r>
            <w:proofErr w:type="spellEnd"/>
            <w:r>
              <w:rPr>
                <w:rFonts w:ascii="Cambria" w:eastAsia="Cambria" w:hAnsi="Cambria" w:cs="Cambria"/>
                <w:color w:val="000000"/>
                <w:sz w:val="20"/>
                <w:szCs w:val="20"/>
              </w:rPr>
              <w:t xml:space="preserve"> lipid</w:t>
            </w:r>
          </w:p>
        </w:tc>
      </w:tr>
    </w:tbl>
    <w:p w14:paraId="2A86D297" w14:textId="77777777" w:rsidR="00244D84" w:rsidRDefault="00244D84">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p w14:paraId="1149B9E7" w14:textId="77777777" w:rsidR="00244D84" w:rsidRDefault="00244D84">
      <w:pPr>
        <w:spacing w:after="0" w:line="240" w:lineRule="auto"/>
        <w:sectPr w:rsidR="00244D84">
          <w:headerReference w:type="even" r:id="rId18"/>
          <w:headerReference w:type="default" r:id="rId19"/>
          <w:footerReference w:type="first" r:id="rId20"/>
          <w:pgSz w:w="11906" w:h="16838"/>
          <w:pgMar w:top="1701" w:right="1134" w:bottom="1134" w:left="1134" w:header="720" w:footer="720" w:gutter="0"/>
          <w:pgNumType w:start="1"/>
          <w:cols w:space="720"/>
          <w:titlePg/>
        </w:sectPr>
      </w:pPr>
    </w:p>
    <w:p w14:paraId="546D96F4" w14:textId="77777777" w:rsidR="00244D84" w:rsidRDefault="003814EC">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t>Pendahuluan</w:t>
      </w:r>
      <w:proofErr w:type="spellEnd"/>
    </w:p>
    <w:p w14:paraId="0B44E5C9" w14:textId="77777777" w:rsidR="00AE2391" w:rsidRPr="00903431" w:rsidRDefault="00AE2391" w:rsidP="00AE2391">
      <w:pPr>
        <w:spacing w:after="0" w:line="240" w:lineRule="auto"/>
        <w:ind w:firstLine="567"/>
        <w:jc w:val="both"/>
        <w:rPr>
          <w:rFonts w:ascii="Cambria" w:eastAsia="Cambria" w:hAnsi="Cambria" w:cs="Cambria"/>
          <w:sz w:val="28"/>
          <w:szCs w:val="28"/>
        </w:rPr>
      </w:pPr>
      <w:r w:rsidRPr="006C5900">
        <w:rPr>
          <w:rFonts w:ascii="Cambria" w:hAnsi="Cambria" w:cstheme="minorHAnsi"/>
          <w:color w:val="000000" w:themeColor="text1"/>
          <w:lang w:val="id-ID"/>
        </w:rPr>
        <w:t>Diabetes Melitus (DM) merupakan gangguan metabolik kronis yang ditandai dengan hiperglikemia dan resistensi insulin</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"DOI" : "10.5001/omj.2012.68", "ISSN" : "1999768X", "author" : [ { "dropping-particle" : "", "family" : "Olokoba", "given" : "Abdulfatai B.", "non-dropping-particle" : "", "parse-names" : false, "suffix" : "" }, { "dropping-particle" : "", "family" : "Obateru", "given" : "Olusegun A.", "non-dropping-particle" : "", "parse-names" : false, "suffix" : "" }, { "dropping-particle" : "", "family" : "Olokoba", "given" : "Lateefat B.", "non-dropping-particle" : "", "parse-names" : false, "suffix" : "" } ], "container-title" : "Oman Medical Journal", "id" : "ITEM-1", "issue" : "4", "issued" : { "date-parts" : [ [ "2012", "7", "16" ] ] }, "page" : "269-273", "title" : "Type 2 Diabetes Mellitus: A Review of Current Trends", "type" : "article-journal", "volume" : "27" }, "uris" : [ "http://www.mendeley.com/documents/?uuid=99c25d30-49d0-4ae6-ba9f-d38ac5553635" ] } ], "mendeley" : { "formattedCitation" : "(Olokoba, Obateru, &amp; Olokoba, 2012)", "plainTextFormattedCitation" : "(Olokoba, Obateru, &amp; Olokoba, 2012)", "previouslyFormattedCitation" : "(Olokoba, Obateru, &amp; Olokoba, 2012)"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(Olokoba, Obateru, &amp; Olokoba, 2012)</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Menurut </w:t>
      </w:r>
      <w:r w:rsidRPr="006C5900">
        <w:rPr>
          <w:rFonts w:ascii="Cambria" w:hAnsi="Cambria" w:cstheme="minorHAnsi"/>
          <w:i/>
          <w:iCs/>
          <w:color w:val="000000" w:themeColor="text1"/>
          <w:lang w:val="id-ID"/>
        </w:rPr>
        <w:t xml:space="preserve">International Diabetes Federation </w:t>
      </w:r>
      <w:r w:rsidRPr="006C5900">
        <w:rPr>
          <w:rFonts w:ascii="Cambria" w:hAnsi="Cambria" w:cstheme="minorHAnsi"/>
          <w:color w:val="000000" w:themeColor="text1"/>
          <w:lang w:val="id-ID"/>
        </w:rPr>
        <w:t>(IDF) pada tahun 2011 sebanyak 366 juta orang di dunia menderita DM dan diperkirakan terus meningkat hingga tahun 2030 menjadi 552 juta jiwa.</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"Federation", "given" : "International Diabetes", "non-dropping-particle" : "", "parse-names" : false, "suffix" : "" } ], "edition" : "5th editio", "id" : "ITEM-1", "issued" : { "date-parts" : [ [ "2011" ] ] }, "publisher" : "Brussel", "title" : "Global Burden of Diabetes : Diabetic Atlas", "type" : "book" }, "uris" : [ "http://www.mendeley.com/documents/?uuid=e3887b73-5263-4db5-8e84-b7f96cb8a553" ] } ], "mendeley" : { "formattedCitation" : "(Federation, 2011)", "plainTextFormattedCitation" : "(Federation, 2011)", "previouslyFormattedCitation" : "(Federation, 2011)"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(Federation, 2011)</w:t>
      </w:r>
      <w:r w:rsidRPr="006C5900">
        <w:rPr>
          <w:rFonts w:ascii="Cambria" w:hAnsi="Cambria" w:cstheme="minorHAnsi"/>
          <w:color w:val="000000" w:themeColor="text1"/>
          <w:lang w:val="id-ID"/>
        </w:rPr>
        <w:fldChar w:fldCharType="end"/>
      </w:r>
      <w:r w:rsidRPr="006C5900">
        <w:rPr>
          <w:rFonts w:ascii="Cambria" w:hAnsi="Cambria" w:cstheme="minorHAnsi"/>
          <w:color w:val="000000" w:themeColor="text1"/>
          <w:lang w:val="id-ID"/>
        </w:rPr>
        <w:t xml:space="preserve"> Di Indonesia pada tahun 2014 ditemukan 9,1 juta kasus dan diperkirakan meningkat menjadi 14,1 juta pada tahun 2035 sehingga Indonesia menempati peringkat ke-5 di dunia, atau naik dua peringkat dibandingkan data IDF tahun 2013 yang menempati peringkat ke-7 di dunia dengan 7,6 juta orang menderita DM</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"Federation", "given" : "International Diabetes", "non-dropping-particle" : "", "parse-names" : false, "suffix" : "" } ], "id" : "ITEM-1", "issued" : { "date-parts" : [ [ "2014" ] ] }, "publisher" : "Brussel", "title" : "Diabetes in Indonesia", "type" : "book" }, "uris" : [ "http://www.mendeley.com/documents/?uuid=30315e57-4caf-4cc2-8e41-b4150e046d16" ] }, { "id" : "ITEM-2", "itemData" : { "author" : [ { "dropping-particle" : "", "family" : "Indonesia).", "given" : "PERKENI (Perkumpulan Endokrinologi", "non-dropping-particle" : "", "parse-names" : false, "suffix" : "" } ], "id" : "ITEM-2", "issued" : { "date-parts" : [ [ "2015" ] ] }, "title" : "Konsensus Pengendalian dan Pencegahan Diabetes Melitus Tipe 2 di Indonesia", "type" : "report" }, "uris" : [ "http://www.mendeley.com/documents/?uuid=a4269de0-5060-4869-bb01-70dec0e7cb67" ] } ], "mendeley" : { "formattedCitation" : "(Federation, 2014; Indonesia)., 2015)", "plainTextFormattedCitation" : "(Federation, 2014; Indonesia)., 2015)", "previouslyFormattedCitation" : "(Federation, 2014; Indonesia)., 2015)"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(Federation, 2014; Indonesia)., 2015)</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p>
    <w:p w14:paraId="6D300D02" w14:textId="77777777" w:rsidR="00AE2391" w:rsidRPr="00903431" w:rsidRDefault="00AE2391" w:rsidP="00AE2391">
      <w:pPr>
        <w:spacing w:after="0" w:line="240" w:lineRule="auto"/>
        <w:ind w:firstLine="567"/>
        <w:jc w:val="both"/>
        <w:rPr>
          <w:rFonts w:ascii="Cambria" w:eastAsia="Cambria" w:hAnsi="Cambria" w:cs="Cambria"/>
          <w:sz w:val="28"/>
          <w:szCs w:val="28"/>
        </w:rPr>
      </w:pPr>
      <w:r w:rsidRPr="006C5900">
        <w:rPr>
          <w:rFonts w:ascii="Cambria" w:hAnsi="Cambria" w:cstheme="minorHAnsi"/>
          <w:color w:val="000000" w:themeColor="text1"/>
          <w:lang w:val="id-ID"/>
        </w:rPr>
        <w:t>Penderita DM memiliki faktor risiko terjadinya penyakit jantung koroner (PJK) akibat gangguan metabolisme lipid berupa peningkatan kadar kolesterol total, trigliserida, dan LDL serta penurunan kadar HDL</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"id" : "ITEM-1", "issued" : { "date-parts" : [ [ "2004" ] ] }, "publisher-place" : "USA", "title" : "Diagnosis and Classification of Diabetes Mellitus, Clinical Practice Recommendations", "type" : "legislation" }, "uris" : [ "http://www.mendeley.com/documents/?uuid=933f851c-e098-4ffb-8184-3974cfd69603" ] } ], "mendeley" : { "formattedCitation" : "(Diagnosis and Classification of Diabetes Mellitus, Clinical Practice Recommendations, 2004)", "plainTextFormattedCitation" : "(Diagnosis and Classification of Diabetes Mellitus, Clinical Practice Recommendations, 2004)", "previouslyFormattedCitation" : "(Diagnosis and Classification of Diabetes Mellitus, Clinical Practice Recommendations, 2004)"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(Diagnosis and Classification of Diabetes Mellitus, Clinical Practice Recommendations, 2004)</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w:t>
      </w:r>
      <w:r w:rsidRPr="006C5900">
        <w:rPr>
          <w:rFonts w:ascii="Cambria" w:hAnsi="Cambria" w:cstheme="minorHAnsi"/>
          <w:i/>
          <w:iCs/>
          <w:color w:val="000000" w:themeColor="text1"/>
          <w:lang w:val="id-ID"/>
        </w:rPr>
        <w:t xml:space="preserve">American Heart Assosiation </w:t>
      </w:r>
      <w:r w:rsidRPr="006C5900">
        <w:rPr>
          <w:rFonts w:ascii="Cambria" w:hAnsi="Cambria" w:cstheme="minorHAnsi"/>
          <w:color w:val="000000" w:themeColor="text1"/>
          <w:lang w:val="id-ID"/>
        </w:rPr>
        <w:t>(AHA) tahun 2011 menyebutkan bahwa 35% orang dewasa dengan DM memiliki kadar trigliserida &gt;200 mg/dl.</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"DOI" : "10.1161/CIR.0b013e3182160726", "ISSN" : "0009-7322", "author" : [ { "dropping-particle" : "", "family" : "Miller", "given" : "Michael", "non-dropping-particle" : "", "parse-names" : false, "suffix" : "" }, { "dropping-particle" : "", "family" : "Stone", "given" : "Neil J.", "non-dropping-particle" : "", "parse-names" : false, "suffix" : "" }, { "dropping-particle" : "", "family" : "Ballantyne", "given" : "Christie", "non-dropping-particle" : "", "parse-names" : false, "suffix" : "" }, { "dropping-particle" : "", "family" : "Bittner", "given" : "Vera", "non-dropping-particle" : "", "parse-names" : false, "suffix" : "" }, { "dropping-particle" : "", "family" : "Criqui", "given" : "Michael H.", "non-dropping-particle" : "", "parse-names" : false, "suffix" : "" }, { "dropping-particle" : "", "family" : "Ginsberg", "given" : "Henry N.", "non-dropping-particle" : "", "parse-names" : false, "suffix" : "" }, { "dropping-particle" : "", "family" : "Goldberg", "given" : "Anne Carol", "non-dropping-particle" : "", "parse-names" : false, "suffix" : "" }, { "dropping-particle" : "", "family" : "Howard", "given" : "William James", "non-dropping-particle" : "", "parse-names" : false, "suffix" : "" }, { "dropping-particle" : "", "family" : "Jacobson", "given" : "Marc S.", "non-dropping-particle" : "", "parse-names" : false, "suffix" : "" }, { "dropping-particle" : "", "family" : "Kris-Etherton", "given" : "Penny M.", "non-dropping-particle" : "", "parse-names" : false, "suffix" : "" }, { "dropping-particle" : "", "family" : "Lennie", "given" : "Terry A.", "non-dropping-particle" : "", "parse-names" : false, "suffix" : "" }, { "dropping-particle" : "", "family" : "Levi", "given" : "Moshe", "non-dropping-particle" : "", "parse-names" : false, "suffix" : "" }, { "dropping-particle" : "", "family" : "Mazzone", "given" : "Theodore", "non-dropping-particle" : "", "parse-names" : false, "suffix" : "" }, { "dropping-particle" : "", "family" : "Pennathur", "given" : "Subramanian", "non-dropping-particle" : "", "parse-names" : false, "suffix" : "" } ], "container-title" : "Circulation", "id" : "ITEM-1", "issue" : "20", "issued" : { "date-parts" : [ [ "2011", "5", "24" ] ] }, "page" : "2292-2333", "title" : "Triglycerides and Cardiovascular Disease", "type" : "article-journal", "volume" : "123" }, "uris" : [ "http://www.mendeley.com/documents/?uuid=727c60a5-146d-47de-920b-62d8a2ef0c8a" ] } ], "mendeley" : { "formattedCitation" : "(Miller et al., 2011)", "plainTextFormattedCitation" : "(Miller et al., 2011)", "previouslyFormattedCitation" : "(Miller et al., 2011)"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(Miller et al., 2011)</w:t>
      </w:r>
      <w:r w:rsidRPr="006C5900">
        <w:rPr>
          <w:rFonts w:ascii="Cambria" w:hAnsi="Cambria" w:cstheme="minorHAnsi"/>
          <w:color w:val="000000" w:themeColor="text1"/>
          <w:lang w:val="id-ID"/>
        </w:rPr>
        <w:fldChar w:fldCharType="end"/>
      </w:r>
      <w:r w:rsidRPr="006C5900">
        <w:rPr>
          <w:rFonts w:ascii="Cambria" w:hAnsi="Cambria" w:cstheme="minorHAnsi"/>
          <w:color w:val="000000" w:themeColor="text1"/>
          <w:lang w:val="id-ID"/>
        </w:rPr>
        <w:t xml:space="preserve"> Tingginya kadar lipid dalam darah seperti kadar kolesterol &gt;250 mg/dl dan kadar trigliserida antara 200-499 mg/dl dapat meningkatkan terjadinya PJK</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"Freeman", "given" : "Mason W.", "non-dropping-particle" : "", "parse-names" : false, "suffix" : "" }, { "dropping-particle" : "", "family" : "Junge", "given" : "Christine", "non-dropping-particle" : "", "parse-names" : false, "suffix" : "" } ], "id" : "ITEM-1", "issued" : { "date-parts" : [ [ "2008" ] ] }, "number-of-pages" : "262", "publisher" : "Bhuana Ilmu Populer", "publisher-place" : "Jakarta", "title" : "Kolesterol rendah jantung sehat", "type" : "book" }, "uris" : [ "http://www.mendeley.com/documents/?uuid=ff2b3b4a-de79-4ade-82ce-0ea16b1fd4b6" ] } ], "mendeley" : { "formattedCitation" : "(Freeman &amp; Junge, 2008)", "plainTextFormattedCitation" : "(Freeman &amp; Junge, 2008)", "previouslyFormattedCitation" : "(Freeman &amp; Junge, 2008)"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(Freeman &amp; Junge, 2008)</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Angka kematian akibat PJK pada penderita DM dapat meningkat 2 sampai 4 kali lebih besar dibandingkan dengan yang non-diabetes karena lesi aterosklerosis pada penderita DM proses perkembangannya lebih cepat</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"DOI" : "10.2337/dc10-S062", "ISSN" : "0149-5992", "container-title" : "Diabetes Care", "id" : "ITEM-1", "issue" : "Supplement_1", "issued" : { "date-parts" : [ [ "2010", "1", "1" ] ] }, "page" : "S62-S69", "title" : "Diagnosis and Classification of Diabetes Mellitus", "type" : "article-journal", "volume" : "33" }, "uris" : [ "http://www.mendeley.com/documents/?uuid=13e05858-4390-4de4-874b-ab7226bfd93e" ] } ], "mendeley" : { "formattedCitation" : "(\u201cDiagnosis and Classification of Diabetes Mellitus,\u201d 2010)", "plainTextFormattedCitation" : "(\u201cDiagnosis and Classification of Diabetes Mellitus,\u201d 2010)", "previouslyFormattedCitation" : "(\u201cDiagnosis and Classification of Diabetes Mellitus,\u201d 2010)"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(“Diagnosis and Classification of Diabetes Mellitus,” 2010)</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Aterosklerosis dapat diprediksi dengan menghitung indeks aterogenik plasma (IAP). Indeks aterogenik plasma (IAP) adalah sebuah penanda untuk mengukur tingkat aterogenisitas karena berkaitan langsung dengan risiko aterosklerosis. IAP dapat dihitung dari logaritma trigliserida/HDL</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"Lafta", "given" : "Muntaha A.", "non-dropping-particle" : "", "parse-names" : false, "suffix" : "" } ], "container-title" : "Journal of Natural Sciences Research", "id" : "ITEM-1", "issue" : "8", "issued" : { "date-parts" : [ [ "2014" ] ] }, "page" : "96-102", "title" : "Comparative Study for Some Atherogenic Indices in Sera of Myocardial infarction, Ischemic Heart Disease Patients and Control", "type" : "article-journal", "volume" : "4" }, "uris" : [ "http://www.mendeley.com/documents/?uuid=d9dd5dbe-b076-433c-ad73-984480c8bb52" ] }, { "id" : "ITEM-2", "itemData" : { "DOI" : "10.4103/2230-8210.122600", "ISSN" : "2230-8210", "author" : [ { "dropping-particle" : "", "family" : "Madhu", "given" : "K", "non-dropping-particle" : "", "parse-names" : false, "suffix" : "" }, { "dropping-particle" : "", "family" : "Manjunath", "given" : "CN", "non-dropping-particle" : "", "parse-names" : false, "suffix" : "" }, { "dropping-particle" : "", "family" : "Rawal", "given" : "JayeshR", "non-dropping-particle" : "", "parse-names" : false, "suffix" : "" }, { "dropping-particle" : "", "family" : "Irani", "given" : "PaurusMehelli", "non-dropping-particle" : "", "parse-names" : false, "suffix" : "" } ], "container-title" : "Indian Journal of Endocrinology and Metabolism", "id" : "ITEM-2", "issue" : "6", "issued" : { "date-parts" : [ [ "2013" ] ] }, "page" : "969", "title" : "Atherogenic dyslipidemia", "type" : "article-journal", "volume" : "17" }, "uris" : [ "http://www.mendeley.com/documents/?uuid=605df0a2-e27e-42b5-92eb-a61fa6cd5691" ] } ], "mendeley" : { "formattedCitation" : "(Lafta, 2014; Madhu, Manjunath, Rawal, &amp; Irani, 2013)", "plainTextFormattedCitation" : "(Lafta, 2014; Madhu, Manjunath, Rawal, &amp; Irani, 2013)", "previouslyFormattedCitation" : "(Lafta, 2014; Madhu, Manjunath, Rawal, &amp; Irani, 2013)"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(Lafta, 2014; Madhu, Manjunath, Rawal, &amp; Irani, 2013)</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Hasil sebuah studi menunjukkan bahwa IAP memiliki sensitivitas paling tinggi (84%) sebagai prediktor penyakit kardiovaskular bila dibandingkan </w:t>
      </w:r>
      <w:r w:rsidRPr="006C5900">
        <w:rPr>
          <w:rFonts w:ascii="Cambria" w:hAnsi="Cambria" w:cstheme="minorHAnsi"/>
          <w:color w:val="000000" w:themeColor="text1"/>
          <w:lang w:val="id-ID"/>
        </w:rPr>
        <w:t>dengan rasio kolesterol total/HDL (68%), kolesterol HDL/LDL (73%), dan kolesterol LDL/HDL (76%)</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"Khaza\u00e1l", "given" : "Mudhaffar Sami", "non-dropping-particle" : "", "parse-names" : false, "suffix" : "" } ], "container-title" : "Karbala J. Med", "id" : "ITEM-1", "issue" : "1", "issued" : { "date-parts" : [ [ "2013" ] ] }, "page" : "1506-1513", "title" : "Atherogenic Index of Plasma (AIP) As a Parameter in Predicting Cardiovascular Risk in Males Compared To the Conventional Dyslipidemic Indices (Cholesterol Ratios).", "type" : "article-journal", "volume" : "6" }, "uris" : [ "http://www.mendeley.com/documents/?uuid=71140172-dd5b-4fc1-aed5-f6fe8eee0414" ] } ], "mendeley" : { "formattedCitation" : "(Khaza\u00e1l, 2013)", "plainTextFormattedCitation" : "(Khaza\u00e1l, 2013)", "previouslyFormattedCitation" : "(Khaza\u00e1l, 2013)"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(Khazaál, 2013)</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Nilai IAP dikategorikan tinggi (risiko tinggi PJK) apabila nilainya &gt;0,21, dikategorikan risiko sedang jika nilai IAP antara rentang 0,11-0,21 dan dikategorikan risiko rendah jika nilainya &lt;0,11</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"ISSN" : "1016-1430", "PMID" : "26793631", "abstract" : "BACKGROUND Cardiovascular disease (CVD) is the cause of one third of deaths worldwide and this will progress because of increasing CVD's risk factors. The most basic task of dealing with the epidemic of CVD is primary prevention of risk factors. As Atherogenic Index of Plasma (AIP) is a strong marker to predict the risk of atherosclerosis and coronary heart disease, we assessed the correlation between AIP and other important factors. METHODS This cross-sectional study was a part of national non-communicable risk factors surveillance system data that has been established since 2004 in Iran. This was done on 1000 people between 2008 and 2010. The study was approved by Ethics Committee of Mashhad University of Medical Science. Chi square, Mann-Whitney U, correlation tests were used in this study. Statistical analysis was performed using SPSS version 11. In all calculations, p &lt;0.05 was considered as statistically significant level. RESULTS The study population consisted of 500 men and 500 women with mean\u00b1SD age 41.9\u00b114.2 years. According to the AIP category, 9.8% (98) were in low risk group, 12.7% (127) were in intermediate risk and 77.5% (775) were in increased risk of CVD. AIP was significantly correlated with waist circumference (r=0.35, p&lt;0.001), BMI (r=0.33, p&lt;0.001) and physical activity (r=-0.09, p&lt;0.01). CONCLUSION AIP can be used as a regular monitoring index of CVD in every day practice, especially in persons with other cardiovascular risk factors.", "author" : [ { "dropping-particle" : "", "family" : "Niroumand", "given" : "Shabnam", "non-dropping-particle" : "", "parse-names" : false, "suffix" : "" }, { "dropping-particle" : "", "family" : "Khajedaluee", "given" : "Mohammad", "non-dropping-particle" : "", "parse-names" : false, "suffix" : "" }, { "dropping-particle" : "", "family" : "Khadem-Rezaiyan", "given" : "Majid", "non-dropping-particle" : "", "parse-names" : false, "suffix" : "" }, { "dropping-particle" : "", "family" : "Abrishami", "given" : "Maryam", "non-dropping-particle" : "", "parse-names" : false, "suffix" : "" }, { "dropping-particle" : "", "family" : "Juya", "given" : "Mohammadreza", "non-dropping-particle" : "", "parse-names" : false, "suffix" : "" }, { "dropping-particle" : "", "family" : "Khodaee", "given" : "Gholamhasan", "non-dropping-particle" : "", "parse-names" : false, "suffix" : "" }, { "dropping-particle" : "", "family" : "Dadgarmoghaddam", "given" : "Maliheh", "non-dropping-particle" : "", "parse-names" : false, "suffix" : "" } ], "container-title" : "Medical journal of the Islamic Republic of Iran", "id" : "ITEM-1", "issued" : { "date-parts" : [ [ "2015" ] ] }, "page" : "240", "title" : "Atherogenic Index of Plasma (AIP): A marker of cardiovascular disease.", "type" : "article-journal", "volume" : "29" }, "uris" : [ "http://www.mendeley.com/documents/?uuid=0bc24c64-52b3-4064-b5f1-b4fb25f948c4" ] } ], "mendeley" : { "formattedCitation" : "(Niroumand et al., 2015)", "plainTextFormattedCitation" : "(Niroumand et al., 2015)", "previouslyFormattedCitation" : "(Niroumand et al., 2015)"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(Niroumand et al., 2015)</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Pengaturan diet diperlukan untuk menurunkan faktor risiko DM, yaitu dengan meningkatkan asupan sayur-sayuran, buah-buahan, dan serealia yang mengandung tinggi sera</w:t>
      </w:r>
      <w:r w:rsidRPr="006C5900">
        <w:rPr>
          <w:rFonts w:ascii="Cambria" w:hAnsi="Cambria" w:cstheme="minorHAnsi"/>
          <w:color w:val="000000" w:themeColor="text1"/>
        </w:rPr>
        <w:t xml:space="preserve">t, </w:t>
      </w:r>
      <w:r w:rsidRPr="006C5900">
        <w:rPr>
          <w:rFonts w:ascii="Cambria" w:hAnsi="Cambria" w:cstheme="minorHAnsi"/>
          <w:color w:val="000000" w:themeColor="text1"/>
          <w:lang w:val="id-ID"/>
        </w:rPr>
        <w:t xml:space="preserve">antioksidan </w:t>
      </w:r>
      <w:r w:rsidRPr="006C5900">
        <w:rPr>
          <w:rFonts w:ascii="Cambria" w:hAnsi="Cambria" w:cstheme="minorHAnsi"/>
          <w:color w:val="000000" w:themeColor="text1"/>
        </w:rPr>
        <w:t xml:space="preserve">dan </w:t>
      </w:r>
      <w:proofErr w:type="spellStart"/>
      <w:r w:rsidRPr="006C5900">
        <w:rPr>
          <w:rFonts w:ascii="Cambria" w:hAnsi="Cambria" w:cstheme="minorHAnsi"/>
          <w:color w:val="000000" w:themeColor="text1"/>
        </w:rPr>
        <w:t>rendah</w:t>
      </w:r>
      <w:proofErr w:type="spellEnd"/>
      <w:r w:rsidRPr="006C5900">
        <w:rPr>
          <w:rFonts w:ascii="Cambria" w:hAnsi="Cambria" w:cstheme="minorHAnsi"/>
          <w:color w:val="000000" w:themeColor="text1"/>
          <w:lang w:val="id-ID"/>
        </w:rPr>
        <w:t xml:space="preserve"> indeks glikemik (IG)</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"International", "given" : "World Cancer Research Fund", "non-dropping-particle" : "", "parse-names" : false, "suffix" : "" } ], "id" : "ITEM-1", "issued" : { "date-parts" : [ [ "2007" ] ] }, "title" : "Nutrition and the prevention of cancer: a Global Perspective.", "type" : "book" }, "uris" : [ "http://www.mendeley.com/documents/?uuid=cbdbc7ee-50dc-4eff-a9f6-bed9570a9a7c" ] }, { "id" : "ITEM-2", "itemData" : { "author" : [ { "dropping-particle" : "", "family" : "Khogare", "given" : "D.T", "non-dropping-particle" : "", "parse-names" : false, "suffix" : "" } ], "container-title" : "International Food Research Journal", "id" : "ITEM-2", "issue" : "1", "issued" : { "date-parts" : [ [ "2012" ] ] }, "page" : "297-302", "title" : "Effect of dietary fiber on blood lipid profile of selected respondent", "type" : "article-journal", "volume" : "19" }, "uris" : [ "http://www.mendeley.com/documents/?uuid=653544d9-fdb5-4828-b077-75b13338ea45" ] }, { "id" : "ITEM-3", "itemData" : { "DOI" : "10.1093/ajcn/87.1.237S", "ISSN" : "0002-9165", "author" : [ { "dropping-particle" : "", "family" : "Monro", "given" : "John A", "non-dropping-particle" : "", "parse-names" : false, "suffix" : "" }, { "dropping-particle" : "", "family" : "Shaw", "given" : "Mick", "non-dropping-particle" : "", "parse-names" : false, "suffix" : "" } ], "container-title" : "The American Journal of Clinical Nutrition", "id" : "ITEM-3", "issue" : "1", "issued" : { "date-parts" : [ [ "2008", "1", "1" ] ] }, "page" : "237S-243S", "title" : "Glycemic impact, glycemic glucose equivalents, glycemic index, and glycemic load: definitions, distinctions, and implications", "type" : "article-journal", "volume" : "87" }, "uris" : [ "http://www.mendeley.com/documents/?uuid=2562cd61-9089-4390-9dbe-9036aa0129fa" ] } ], "mendeley" : { "formattedCitation" : "(International, 2007; Khogare, 2012; Monro &amp; Shaw, 2008)", "plainTextFormattedCitation" : "(International, 2007; Khogare, 2012; Monro &amp; Shaw, 2008)", "previouslyFormattedCitation" : "(International, 2007; Khogare, 2012; Monro &amp; Shaw, 2008)"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(International, 2007; Khogare, 2012; Monro &amp; Shaw, 2008)</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p>
    <w:p w14:paraId="67700062" w14:textId="77777777" w:rsidR="00AE2391" w:rsidRPr="00903431" w:rsidRDefault="00AE2391" w:rsidP="00AE2391">
      <w:pPr>
        <w:spacing w:after="0" w:line="240" w:lineRule="auto"/>
        <w:ind w:firstLine="567"/>
        <w:jc w:val="both"/>
        <w:rPr>
          <w:rFonts w:ascii="Cambria" w:eastAsia="Cambria" w:hAnsi="Cambria" w:cs="Cambria"/>
          <w:sz w:val="28"/>
          <w:szCs w:val="28"/>
        </w:rPr>
      </w:pPr>
      <w:r w:rsidRPr="006C5900">
        <w:rPr>
          <w:rFonts w:ascii="Cambria" w:hAnsi="Cambria" w:cstheme="minorHAnsi"/>
          <w:color w:val="000000" w:themeColor="text1"/>
          <w:lang w:val="id-ID"/>
        </w:rPr>
        <w:t>Salah satu pangan lokal yang mengandung tinggi antioksidan dan serat, serta rendah IG adalah sorgum (</w:t>
      </w:r>
      <w:r w:rsidRPr="006C5900">
        <w:rPr>
          <w:rFonts w:ascii="Cambria" w:hAnsi="Cambria" w:cstheme="minorHAnsi"/>
          <w:i/>
          <w:iCs/>
          <w:color w:val="000000" w:themeColor="text1"/>
          <w:lang w:val="id-ID"/>
        </w:rPr>
        <w:t xml:space="preserve">Sorghum bicolor </w:t>
      </w:r>
      <w:r w:rsidRPr="006C5900">
        <w:rPr>
          <w:rFonts w:ascii="Cambria" w:hAnsi="Cambria" w:cstheme="minorHAnsi"/>
          <w:color w:val="000000" w:themeColor="text1"/>
          <w:lang w:val="id-ID"/>
        </w:rPr>
        <w:t>L. Moench) yang merupakan lima sereal terpenting di dunia setelah gandum, padi, jagung, dan barley.</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"E.Jyothsna", "given" : "", "non-dropping-particle" : "", "parse-names" : false, "suffix" : "" }, { "dropping-particle" : "", "family" : "Hymavathi", "given" : "Dr.T.V.", "non-dropping-particle" : "", "parse-names" : false, "suffix" : "" }, { "dropping-particle" : "", "family" : "Kumar", "given" : "Dr. G. Kiran", "non-dropping-particle" : "", "parse-names" : false, "suffix" : "" } ], "container-title" : "IOSR Journal of Nursing and Health Science (IOSR-JNHS)", "id" : "ITEM-1", "issue" : "3", "issued" : { "date-parts" : [ [ "2015" ] ] }, "page" : "50-54", "title" : "Effect of sorghum based resistant starch rich product supplementation on lipid profile of healthy individuals.", "type" : "article-journal", "volume" : "4" }, "uris" : [ "http://www.mendeley.com/documents/?uuid=03532c09-fb81-4fd4-8463-23dc1c36b9b5" ] } ], "mendeley" : { "formattedCitation" : "(E.Jyothsna, Hymavathi, &amp; Kumar, 2015)", "plainTextFormattedCitation" : "(E.Jyothsna, Hymavathi, &amp; Kumar, 2015)", "previouslyFormattedCitation" : "(E.Jyothsna, Hymavathi, &amp; Kumar, 2015)"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(E.Jyothsna, Hymavathi, &amp; Kumar, 2015)</w:t>
      </w:r>
      <w:r w:rsidRPr="006C5900">
        <w:rPr>
          <w:rFonts w:ascii="Cambria" w:hAnsi="Cambria" w:cstheme="minorHAnsi"/>
          <w:color w:val="000000" w:themeColor="text1"/>
          <w:lang w:val="id-ID"/>
        </w:rPr>
        <w:fldChar w:fldCharType="end"/>
      </w:r>
      <w:r w:rsidRPr="006C5900">
        <w:rPr>
          <w:rFonts w:ascii="Cambria" w:hAnsi="Cambria" w:cstheme="minorHAnsi"/>
          <w:color w:val="000000" w:themeColor="text1"/>
          <w:lang w:val="id-ID"/>
        </w:rPr>
        <w:t xml:space="preserve"> Sebuah penelitian mengenai efek pemberian ekstrak sorgum terhadap profil lipid pada tikus yang diberikan diet tinggi lemak menunjukkan hasil bahwa pemberian ekstrak sorgum sebanyak 5% dapat menurunkan kadar kolesterol total, LDL, dan trigliserida</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"DOI" : "10.4162/nrp.2012.6.4.322", "ISSN" : "1976-1457", "author" : [ { "dropping-particle" : "", "family" : "Park", "given" : "Ji Heon", "non-dropping-particle" : "", "parse-names" : false, "suffix" : "" }, { "dropping-particle" : "", "family" : "Lee", "given" : "Sun Hee", "non-dropping-particle" : "", "parse-names" : false, "suffix" : "" }, { "dropping-particle" : "", "family" : "Chung", "given" : "Ill-Min", "non-dropping-particle" : "", "parse-names" : false, "suffix" : "" }, { "dropping-particle" : "", "family" : "Park", "given" : "Yongsoon", "non-dropping-particle" : "", "parse-names" : false, "suffix" : "" } ], "container-title" : "Nutrition Research and Practice", "id" : "ITEM-1", "issue" : "4", "issued" : { "date-parts" : [ [ "2012" ] ] }, "page" : "322", "title" : "Sorghum extract exerts an anti-diabetic effect by improving insulin sensitivity via PPAR-\u03b3 in mice fed a high-fat diet", "type" : "article-journal", "volume" : "6" }, "uris" : [ "http://www.mendeley.com/documents/?uuid=a2b9b614-7a0b-4fcb-813a-e3f4393d43cb" ] } ], "mendeley" : { "formattedCitation" : "(Park, Lee, Chung, &amp; Park, 2012)", "plainTextFormattedCitation" : "(Park, Lee, Chung, &amp; Park, 2012)", "previouslyFormattedCitation" : "(Park, Lee, Chung, &amp; Park, 2012)"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(Park, Lee, Chung, &amp; Park, 2012)</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p>
    <w:p w14:paraId="4ECB96C7" w14:textId="77777777" w:rsidR="00AE2391" w:rsidRDefault="00AE2391" w:rsidP="00AE2391">
      <w:pPr>
        <w:spacing w:after="0" w:line="240" w:lineRule="auto"/>
        <w:ind w:firstLine="567"/>
        <w:jc w:val="both"/>
        <w:rPr>
          <w:rFonts w:ascii="Cambria" w:hAnsi="Cambria" w:cstheme="minorHAnsi"/>
          <w:color w:val="000000" w:themeColor="text1"/>
        </w:rPr>
      </w:pPr>
      <w:r w:rsidRPr="006C5900">
        <w:rPr>
          <w:rFonts w:ascii="Cambria" w:hAnsi="Cambria" w:cstheme="minorHAnsi"/>
          <w:color w:val="000000" w:themeColor="text1"/>
          <w:lang w:val="id-ID"/>
        </w:rPr>
        <w:t>Sorgum dapat diolah menjadi produk jadi maupun setengah jadi seperti tepung. Pengolahan menjadi tepung selain memperpanjang umur simpan juga dapat meningkatkan daya kembang serta lebih mudah larut dalam air sehingga tepung sorgum dapat dibuat menjadi aneka makanan kering maupun basah</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"Sutrisna", "given" : "Nana", "non-dropping-particle" : "", "parse-names" : false, "suffix" : "" } ], "container-title" : "Badan Litbang Pertanian", "id" : "ITEM-1", "issued" : { "date-parts" : [ [ "2012" ] ] }, "page" : "11-12", "title" : "Sorgum untuk Penganekaragaman Pangan", "type" : "article-magazine" }, "uris" : [ "http://www.mendeley.com/documents/?uuid=db9d5ff2-1ca5-476f-bbcf-82664b2a31d0" ] } ], "mendeley" : { "formattedCitation" : "(Sutrisna, 2012)", "plainTextFormattedCitation" : "(Sutrisna, 2012)", "previouslyFormattedCitation" : "(Sutrisna, 2012)"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(Sutrisna, 2012)</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Pembuatan tepung sorgum akan mendorong munculnya produk olahan sorgum yang lebih beragam dan praktis sehingga menunjang program diversifikasi konsumsi pangan. Tepung sorgum memiliki kandungan gizi yaitu karbohidrat 73,06 g, lemak 4,14 g, protein 8,91 g dan serat pangan total sebesar 8,83 g</w:t>
      </w:r>
      <w:r>
        <w:rPr>
          <w:rFonts w:ascii="Cambria" w:hAnsi="Cambria" w:cstheme="minorHAnsi"/>
          <w:color w:val="000000" w:themeColor="text1"/>
        </w:rPr>
        <w:t xml:space="preserve"> </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"author" : [ { "dropping-particle" : "", "family" : "Salimi", "given" : "Yuszda K.", "non-dropping-particle" : "", "parse-names" : false, "suffix" : "" } ], "id" : "ITEM-1", "issued" : { "date-parts" : [ [ "2012" ] ] }, "number-of-pages" : "156", "publisher" : "Institut Pertanian Bogor", "title" : "Peranan Ekstrak dan Tepung Sorgum (Sorghum bicolor L.) dalam Penghambatan Kanker secara in vitro dan in vivo pada Mencit BALB/c", "type" : "thesis" }, "uris" : [ "http://www.mendeley.com/documents/?uuid=2488ab01-dca5-46ee-97a2-b7fff1e7ecf7" ] } ], "mendeley" : { "formattedCitation" : "(Salimi, 2012)", "plainTextFormattedCitation" : "(Salimi, 2012)", "previouslyFormattedCitation" : "(Salimi, 2012)"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(Salimi, 2012)</w:t>
      </w:r>
      <w:r w:rsidRPr="006C5900">
        <w:rPr>
          <w:rFonts w:ascii="Cambria" w:hAnsi="Cambria" w:cstheme="minorHAnsi"/>
          <w:color w:val="000000" w:themeColor="text1"/>
          <w:lang w:val="id-ID"/>
        </w:rPr>
        <w:fldChar w:fldCharType="end"/>
      </w:r>
      <w:r>
        <w:rPr>
          <w:rFonts w:ascii="Cambria" w:hAnsi="Cambria" w:cstheme="minorHAnsi"/>
          <w:color w:val="000000" w:themeColor="text1"/>
        </w:rPr>
        <w:t>.</w:t>
      </w:r>
      <w:r w:rsidRPr="006C5900">
        <w:rPr>
          <w:rFonts w:ascii="Cambria" w:hAnsi="Cambria" w:cstheme="minorHAnsi"/>
          <w:color w:val="000000" w:themeColor="text1"/>
          <w:lang w:val="id-ID"/>
        </w:rPr>
        <w:t xml:space="preserve"> Berdasarkan uraian tersebut, perlu dilakukan penelitian mengenai pengaruh pemberian tepung sorgum (</w:t>
      </w:r>
      <w:r w:rsidRPr="006C5900">
        <w:rPr>
          <w:rFonts w:ascii="Cambria" w:hAnsi="Cambria" w:cstheme="minorHAnsi"/>
          <w:i/>
          <w:iCs/>
          <w:color w:val="000000" w:themeColor="text1"/>
          <w:lang w:val="id-ID"/>
        </w:rPr>
        <w:t>Sorghum bicolor L. Moench</w:t>
      </w:r>
      <w:r w:rsidRPr="006C5900">
        <w:rPr>
          <w:rFonts w:ascii="Cambria" w:hAnsi="Cambria" w:cstheme="minorHAnsi"/>
          <w:color w:val="000000" w:themeColor="text1"/>
          <w:lang w:val="id-ID"/>
        </w:rPr>
        <w:t xml:space="preserve">) terhadap </w:t>
      </w:r>
      <w:proofErr w:type="spellStart"/>
      <w:r w:rsidRPr="006C5900">
        <w:rPr>
          <w:rFonts w:ascii="Cambria" w:hAnsi="Cambria" w:cstheme="minorHAnsi"/>
          <w:color w:val="000000" w:themeColor="text1"/>
        </w:rPr>
        <w:t>profil</w:t>
      </w:r>
      <w:proofErr w:type="spellEnd"/>
      <w:r w:rsidRPr="006C5900">
        <w:rPr>
          <w:rFonts w:ascii="Cambria" w:hAnsi="Cambria" w:cstheme="minorHAnsi"/>
          <w:color w:val="000000" w:themeColor="text1"/>
        </w:rPr>
        <w:t xml:space="preserve"> lipid dan </w:t>
      </w:r>
      <w:proofErr w:type="spellStart"/>
      <w:r w:rsidRPr="006C5900">
        <w:rPr>
          <w:rFonts w:ascii="Cambria" w:hAnsi="Cambria" w:cstheme="minorHAnsi"/>
          <w:color w:val="000000" w:themeColor="text1"/>
        </w:rPr>
        <w:t>indeks</w:t>
      </w:r>
      <w:proofErr w:type="spellEnd"/>
      <w:r w:rsidRPr="006C5900">
        <w:rPr>
          <w:rFonts w:ascii="Cambria" w:hAnsi="Cambria" w:cstheme="minorHAnsi"/>
          <w:color w:val="000000" w:themeColor="text1"/>
        </w:rPr>
        <w:t xml:space="preserve"> </w:t>
      </w:r>
      <w:proofErr w:type="spellStart"/>
      <w:r w:rsidRPr="006C5900">
        <w:rPr>
          <w:rFonts w:ascii="Cambria" w:hAnsi="Cambria" w:cstheme="minorHAnsi"/>
          <w:color w:val="000000" w:themeColor="text1"/>
        </w:rPr>
        <w:t>aterogenik</w:t>
      </w:r>
      <w:proofErr w:type="spellEnd"/>
      <w:r w:rsidRPr="006C5900">
        <w:rPr>
          <w:rFonts w:ascii="Cambria" w:hAnsi="Cambria" w:cstheme="minorHAnsi"/>
          <w:color w:val="000000" w:themeColor="text1"/>
        </w:rPr>
        <w:t xml:space="preserve"> plasma</w:t>
      </w:r>
      <w:r w:rsidRPr="006C5900">
        <w:rPr>
          <w:rFonts w:ascii="Cambria" w:hAnsi="Cambria" w:cstheme="minorHAnsi"/>
          <w:color w:val="000000" w:themeColor="text1"/>
          <w:lang w:val="id-ID"/>
        </w:rPr>
        <w:t xml:space="preserve"> tikus Wistar (</w:t>
      </w:r>
      <w:r w:rsidRPr="006C5900">
        <w:rPr>
          <w:rFonts w:ascii="Cambria" w:hAnsi="Cambria" w:cstheme="minorHAnsi"/>
          <w:i/>
          <w:iCs/>
          <w:color w:val="000000" w:themeColor="text1"/>
          <w:lang w:val="id-ID"/>
        </w:rPr>
        <w:t>Rattus norvegicus</w:t>
      </w:r>
      <w:r w:rsidRPr="006C5900">
        <w:rPr>
          <w:rFonts w:ascii="Cambria" w:hAnsi="Cambria" w:cstheme="minorHAnsi"/>
          <w:color w:val="000000" w:themeColor="text1"/>
          <w:lang w:val="id-ID"/>
        </w:rPr>
        <w:t>) diabetes</w:t>
      </w:r>
      <w:r w:rsidRPr="006C5900">
        <w:rPr>
          <w:rFonts w:ascii="Cambria" w:hAnsi="Cambria" w:cstheme="minorHAnsi"/>
          <w:color w:val="000000" w:themeColor="text1"/>
        </w:rPr>
        <w:t xml:space="preserve"> mellitus</w:t>
      </w:r>
      <w:r>
        <w:rPr>
          <w:rFonts w:ascii="Cambria" w:hAnsi="Cambria" w:cstheme="minorHAnsi"/>
          <w:color w:val="000000" w:themeColor="text1"/>
        </w:rPr>
        <w:t>.</w:t>
      </w:r>
    </w:p>
    <w:p w14:paraId="73642EB3" w14:textId="77777777" w:rsidR="00AE2391" w:rsidRPr="006C5900" w:rsidRDefault="00AE2391" w:rsidP="00AE2391">
      <w:pPr>
        <w:spacing w:after="0" w:line="240" w:lineRule="auto"/>
        <w:ind w:firstLine="567"/>
        <w:jc w:val="both"/>
        <w:rPr>
          <w:rFonts w:ascii="Cambria" w:eastAsia="Cambria" w:hAnsi="Cambria" w:cs="Cambria"/>
          <w:sz w:val="28"/>
          <w:szCs w:val="28"/>
        </w:rPr>
      </w:pPr>
    </w:p>
    <w:p w14:paraId="65608422" w14:textId="77777777" w:rsidR="00AE2391" w:rsidRDefault="00AE2391" w:rsidP="00AE2391">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lastRenderedPageBreak/>
        <w:t>Metode</w:t>
      </w:r>
      <w:proofErr w:type="spellEnd"/>
    </w:p>
    <w:p w14:paraId="73449A80" w14:textId="0047B5C6" w:rsidR="00AE2391" w:rsidRPr="00801829" w:rsidRDefault="00AE2391" w:rsidP="00801829">
      <w:pPr>
        <w:spacing w:after="0" w:line="240" w:lineRule="auto"/>
        <w:ind w:firstLine="567"/>
        <w:jc w:val="both"/>
        <w:rPr>
          <w:rFonts w:ascii="Cambria" w:hAnsi="Cambria"/>
        </w:rPr>
      </w:pPr>
      <w:r w:rsidRPr="006C5900">
        <w:rPr>
          <w:rFonts w:ascii="Cambria" w:hAnsi="Cambria" w:cstheme="minorHAnsi"/>
          <w:color w:val="000000" w:themeColor="text1"/>
          <w:lang w:val="id-ID"/>
        </w:rPr>
        <w:t xml:space="preserve">Penelitian ini dilakukan di Laboratorium Pusat Studi Pangan dan Gizi Universitas </w:t>
      </w:r>
      <w:r w:rsidR="00E32CC2">
        <w:rPr>
          <w:rFonts w:ascii="Cambria" w:hAnsi="Cambria" w:cstheme="minorHAnsi"/>
          <w:color w:val="000000" w:themeColor="text1"/>
        </w:rPr>
        <w:t xml:space="preserve">                 </w:t>
      </w:r>
      <w:r w:rsidRPr="006C5900">
        <w:rPr>
          <w:rFonts w:ascii="Cambria" w:hAnsi="Cambria" w:cstheme="minorHAnsi"/>
          <w:color w:val="000000" w:themeColor="text1"/>
          <w:lang w:val="id-ID"/>
        </w:rPr>
        <w:t xml:space="preserve">Gadjah Mada (UGM), Yogyakarta. </w:t>
      </w:r>
      <w:commentRangeStart w:id="0"/>
      <w:r w:rsidRPr="006C5900">
        <w:rPr>
          <w:rFonts w:ascii="Cambria" w:hAnsi="Cambria" w:cstheme="minorHAnsi"/>
          <w:color w:val="000000" w:themeColor="text1"/>
          <w:lang w:val="id-ID"/>
        </w:rPr>
        <w:t xml:space="preserve">Penelitian telah memperoleh persetujuan dari Komite Etik Penelitian Kesehatan (KEPK) </w:t>
      </w:r>
      <w:r w:rsidRPr="00625221">
        <w:rPr>
          <w:rFonts w:ascii="Cambria" w:hAnsi="Cambria" w:cstheme="minorHAnsi"/>
          <w:color w:val="000000" w:themeColor="text1"/>
          <w:lang w:val="id-ID"/>
        </w:rPr>
        <w:t>Fakultas Kedokteran Universitas Diponegoro</w:t>
      </w:r>
      <w:r w:rsidR="003E53D4">
        <w:rPr>
          <w:rFonts w:ascii="Cambria" w:hAnsi="Cambria" w:cstheme="minorHAnsi"/>
          <w:color w:val="000000" w:themeColor="text1"/>
        </w:rPr>
        <w:t xml:space="preserve"> </w:t>
      </w:r>
      <w:r w:rsidR="00801829" w:rsidRPr="00625221">
        <w:rPr>
          <w:rFonts w:ascii="Cambria" w:hAnsi="Cambria"/>
        </w:rPr>
        <w:t xml:space="preserve"> </w:t>
      </w:r>
      <w:r w:rsidR="00801829">
        <w:rPr>
          <w:rFonts w:ascii="Cambria" w:hAnsi="Cambria"/>
        </w:rPr>
        <w:t xml:space="preserve">                   </w:t>
      </w:r>
      <w:r w:rsidR="0031325C" w:rsidRPr="00625221">
        <w:rPr>
          <w:rFonts w:ascii="Cambria" w:hAnsi="Cambria" w:cstheme="minorHAnsi"/>
          <w:color w:val="000000" w:themeColor="text1"/>
        </w:rPr>
        <w:t>N</w:t>
      </w:r>
      <w:r w:rsidR="0031325C" w:rsidRPr="00625221">
        <w:rPr>
          <w:rFonts w:ascii="Cambria" w:hAnsi="Cambria"/>
        </w:rPr>
        <w:t>o.0</w:t>
      </w:r>
      <w:r w:rsidR="0031325C" w:rsidRPr="00625221">
        <w:rPr>
          <w:rFonts w:ascii="Cambria" w:hAnsi="Cambria"/>
        </w:rPr>
        <w:t>3</w:t>
      </w:r>
      <w:r w:rsidR="0031325C" w:rsidRPr="00625221">
        <w:rPr>
          <w:rFonts w:ascii="Cambria" w:hAnsi="Cambria"/>
        </w:rPr>
        <w:t>/EC/H/FK</w:t>
      </w:r>
      <w:r w:rsidR="003E53D4">
        <w:rPr>
          <w:rFonts w:ascii="Cambria" w:hAnsi="Cambria"/>
        </w:rPr>
        <w:t>-</w:t>
      </w:r>
      <w:r w:rsidR="0031325C" w:rsidRPr="00625221">
        <w:rPr>
          <w:rFonts w:ascii="Cambria" w:hAnsi="Cambria"/>
        </w:rPr>
        <w:t>UNDIP/I/201</w:t>
      </w:r>
      <w:r w:rsidR="003E53D4">
        <w:rPr>
          <w:rFonts w:ascii="Cambria" w:hAnsi="Cambria"/>
        </w:rPr>
        <w:t xml:space="preserve">9 </w:t>
      </w:r>
      <w:proofErr w:type="spellStart"/>
      <w:r w:rsidR="003E53D4">
        <w:rPr>
          <w:rFonts w:ascii="Cambria" w:hAnsi="Cambria"/>
        </w:rPr>
        <w:t>tanggal</w:t>
      </w:r>
      <w:proofErr w:type="spellEnd"/>
      <w:r w:rsidR="003E53D4">
        <w:rPr>
          <w:rFonts w:ascii="Cambria" w:hAnsi="Cambria"/>
        </w:rPr>
        <w:t xml:space="preserve">                              7 </w:t>
      </w:r>
      <w:proofErr w:type="spellStart"/>
      <w:r w:rsidR="003E53D4">
        <w:rPr>
          <w:rFonts w:ascii="Cambria" w:hAnsi="Cambria"/>
        </w:rPr>
        <w:t>Januari</w:t>
      </w:r>
      <w:proofErr w:type="spellEnd"/>
      <w:r w:rsidR="003E53D4">
        <w:rPr>
          <w:rFonts w:ascii="Cambria" w:hAnsi="Cambria"/>
        </w:rPr>
        <w:t xml:space="preserve"> 2019; </w:t>
      </w:r>
      <w:r w:rsidR="00985ED6" w:rsidRPr="00625221">
        <w:rPr>
          <w:rFonts w:ascii="Cambria" w:hAnsi="Cambria"/>
        </w:rPr>
        <w:t>No.04</w:t>
      </w:r>
      <w:r w:rsidR="00985ED6" w:rsidRPr="00625221">
        <w:rPr>
          <w:rFonts w:ascii="Cambria" w:hAnsi="Cambria"/>
        </w:rPr>
        <w:t>/EC/H/FK-UNDIP/I/2019</w:t>
      </w:r>
      <w:r w:rsidR="00801829">
        <w:rPr>
          <w:rFonts w:ascii="Cambria" w:hAnsi="Cambria"/>
        </w:rPr>
        <w:t xml:space="preserve"> </w:t>
      </w:r>
      <w:proofErr w:type="spellStart"/>
      <w:r w:rsidR="00801829">
        <w:rPr>
          <w:rFonts w:ascii="Cambria" w:hAnsi="Cambria"/>
        </w:rPr>
        <w:t>tanggal</w:t>
      </w:r>
      <w:proofErr w:type="spellEnd"/>
      <w:r w:rsidR="00E32CC2">
        <w:rPr>
          <w:rFonts w:ascii="Cambria" w:hAnsi="Cambria"/>
        </w:rPr>
        <w:t xml:space="preserve"> </w:t>
      </w:r>
      <w:r w:rsidR="00801829">
        <w:rPr>
          <w:rFonts w:ascii="Cambria" w:hAnsi="Cambria"/>
        </w:rPr>
        <w:t xml:space="preserve">7 </w:t>
      </w:r>
      <w:proofErr w:type="spellStart"/>
      <w:r w:rsidR="00801829">
        <w:rPr>
          <w:rFonts w:ascii="Cambria" w:hAnsi="Cambria"/>
        </w:rPr>
        <w:t>Januari</w:t>
      </w:r>
      <w:proofErr w:type="spellEnd"/>
      <w:r w:rsidR="00801829">
        <w:rPr>
          <w:rFonts w:ascii="Cambria" w:hAnsi="Cambria"/>
        </w:rPr>
        <w:t xml:space="preserve"> 2019;</w:t>
      </w:r>
      <w:r w:rsidR="00E32CC2">
        <w:rPr>
          <w:rFonts w:ascii="Cambria" w:hAnsi="Cambria"/>
        </w:rPr>
        <w:t xml:space="preserve"> </w:t>
      </w:r>
      <w:r w:rsidR="00801829">
        <w:rPr>
          <w:rFonts w:ascii="Cambria" w:hAnsi="Cambria"/>
        </w:rPr>
        <w:t xml:space="preserve">dan </w:t>
      </w:r>
      <w:r w:rsidR="00E32CC2">
        <w:rPr>
          <w:rFonts w:ascii="Cambria" w:hAnsi="Cambria"/>
        </w:rPr>
        <w:t xml:space="preserve">                                                             </w:t>
      </w:r>
      <w:r w:rsidR="0031325C" w:rsidRPr="00625221">
        <w:rPr>
          <w:rFonts w:ascii="Cambria" w:hAnsi="Cambria"/>
        </w:rPr>
        <w:t>No.</w:t>
      </w:r>
      <w:r w:rsidR="00801829">
        <w:rPr>
          <w:rFonts w:ascii="Cambria" w:hAnsi="Cambria"/>
        </w:rPr>
        <w:t xml:space="preserve"> </w:t>
      </w:r>
      <w:r w:rsidR="0031325C" w:rsidRPr="00625221">
        <w:rPr>
          <w:rFonts w:ascii="Cambria" w:hAnsi="Cambria"/>
        </w:rPr>
        <w:t>05/EC/</w:t>
      </w:r>
      <w:r w:rsidR="00985ED6" w:rsidRPr="00625221">
        <w:rPr>
          <w:rFonts w:ascii="Cambria" w:hAnsi="Cambria"/>
        </w:rPr>
        <w:t xml:space="preserve"> </w:t>
      </w:r>
      <w:r w:rsidR="00985ED6" w:rsidRPr="00625221">
        <w:rPr>
          <w:rFonts w:ascii="Cambria" w:hAnsi="Cambria"/>
        </w:rPr>
        <w:t>H/FK-UNDIP/I/2019</w:t>
      </w:r>
      <w:r w:rsidR="00801829">
        <w:rPr>
          <w:rFonts w:ascii="Cambria" w:hAnsi="Cambria"/>
        </w:rPr>
        <w:t xml:space="preserve"> </w:t>
      </w:r>
      <w:proofErr w:type="spellStart"/>
      <w:r w:rsidR="00801829">
        <w:rPr>
          <w:rFonts w:ascii="Cambria" w:hAnsi="Cambria"/>
        </w:rPr>
        <w:t>tanggal</w:t>
      </w:r>
      <w:proofErr w:type="spellEnd"/>
      <w:r w:rsidR="00801829">
        <w:rPr>
          <w:rFonts w:ascii="Cambria" w:hAnsi="Cambria"/>
        </w:rPr>
        <w:t xml:space="preserve"> </w:t>
      </w:r>
      <w:r w:rsidR="005D7310">
        <w:rPr>
          <w:rFonts w:ascii="Cambria" w:hAnsi="Cambria"/>
        </w:rPr>
        <w:t xml:space="preserve">                          </w:t>
      </w:r>
      <w:r w:rsidR="00801829">
        <w:rPr>
          <w:rFonts w:ascii="Cambria" w:hAnsi="Cambria"/>
        </w:rPr>
        <w:t xml:space="preserve">7 </w:t>
      </w:r>
      <w:proofErr w:type="spellStart"/>
      <w:r w:rsidR="00801829">
        <w:rPr>
          <w:rFonts w:ascii="Cambria" w:hAnsi="Cambria"/>
        </w:rPr>
        <w:t>Januari</w:t>
      </w:r>
      <w:proofErr w:type="spellEnd"/>
      <w:r w:rsidR="00801829">
        <w:rPr>
          <w:rFonts w:ascii="Cambria" w:hAnsi="Cambria"/>
        </w:rPr>
        <w:t xml:space="preserve"> 2019</w:t>
      </w:r>
      <w:commentRangeEnd w:id="0"/>
      <w:r w:rsidR="003E53D4">
        <w:rPr>
          <w:rStyle w:val="CommentReference"/>
        </w:rPr>
        <w:commentReference w:id="0"/>
      </w:r>
      <w:r w:rsidR="00801829">
        <w:rPr>
          <w:rFonts w:ascii="Cambria" w:hAnsi="Cambria"/>
        </w:rPr>
        <w:t>.</w:t>
      </w:r>
      <w:r w:rsidR="00625221" w:rsidRPr="00625221">
        <w:rPr>
          <w:rFonts w:ascii="Cambria" w:hAnsi="Cambria"/>
        </w:rPr>
        <w:t xml:space="preserve"> </w:t>
      </w:r>
      <w:r w:rsidR="003E53D4">
        <w:rPr>
          <w:rFonts w:ascii="Cambria" w:hAnsi="Cambria"/>
        </w:rPr>
        <w:t xml:space="preserve">    </w:t>
      </w:r>
      <w:r w:rsidRPr="006C5900">
        <w:rPr>
          <w:rFonts w:ascii="Cambria" w:hAnsi="Cambria" w:cstheme="minorHAnsi"/>
          <w:color w:val="000000" w:themeColor="text1"/>
          <w:lang w:val="id-ID"/>
        </w:rPr>
        <w:t>Jenis penelit</w:t>
      </w:r>
      <w:proofErr w:type="spellStart"/>
      <w:r w:rsidR="00801829">
        <w:rPr>
          <w:rFonts w:ascii="Cambria" w:hAnsi="Cambria" w:cstheme="minorHAnsi"/>
          <w:color w:val="000000" w:themeColor="text1"/>
        </w:rPr>
        <w:t>i</w:t>
      </w:r>
      <w:proofErr w:type="spellEnd"/>
      <w:r w:rsidRPr="006C5900">
        <w:rPr>
          <w:rFonts w:ascii="Cambria" w:hAnsi="Cambria" w:cstheme="minorHAnsi"/>
          <w:color w:val="000000" w:themeColor="text1"/>
          <w:lang w:val="id-ID"/>
        </w:rPr>
        <w:t xml:space="preserve">an ini adalah </w:t>
      </w:r>
      <w:r w:rsidRPr="006C5900">
        <w:rPr>
          <w:rFonts w:ascii="Cambria" w:hAnsi="Cambria" w:cstheme="minorHAnsi"/>
          <w:i/>
          <w:iCs/>
          <w:color w:val="000000" w:themeColor="text1"/>
          <w:lang w:val="id-ID"/>
        </w:rPr>
        <w:t xml:space="preserve">true experimental </w:t>
      </w:r>
      <w:r w:rsidRPr="006C5900">
        <w:rPr>
          <w:rFonts w:ascii="Cambria" w:hAnsi="Cambria" w:cstheme="minorHAnsi"/>
          <w:color w:val="000000" w:themeColor="text1"/>
          <w:lang w:val="id-ID"/>
        </w:rPr>
        <w:t xml:space="preserve">dengan </w:t>
      </w:r>
      <w:r w:rsidRPr="006C5900">
        <w:rPr>
          <w:rFonts w:ascii="Cambria" w:hAnsi="Cambria" w:cstheme="minorHAnsi"/>
          <w:i/>
          <w:iCs/>
          <w:color w:val="000000" w:themeColor="text1"/>
          <w:lang w:val="id-ID"/>
        </w:rPr>
        <w:t xml:space="preserve">pre and post test with control group design. </w:t>
      </w:r>
      <w:r w:rsidRPr="006C5900">
        <w:rPr>
          <w:rFonts w:ascii="Cambria" w:hAnsi="Cambria" w:cstheme="minorHAnsi"/>
          <w:color w:val="000000" w:themeColor="text1"/>
          <w:lang w:val="id-ID"/>
        </w:rPr>
        <w:t>Subjek penelitian menggunakan 18 ekor tikus jantan galur Wistar (</w:t>
      </w:r>
      <w:r w:rsidRPr="006C5900">
        <w:rPr>
          <w:rFonts w:ascii="Cambria" w:hAnsi="Cambria" w:cstheme="minorHAnsi"/>
          <w:i/>
          <w:iCs/>
          <w:color w:val="000000" w:themeColor="text1"/>
          <w:lang w:val="id-ID"/>
        </w:rPr>
        <w:t>Rattus norvegicus</w:t>
      </w:r>
      <w:r w:rsidRPr="006C5900">
        <w:rPr>
          <w:rFonts w:ascii="Cambria" w:hAnsi="Cambria" w:cstheme="minorHAnsi"/>
          <w:color w:val="000000" w:themeColor="text1"/>
          <w:lang w:val="id-ID"/>
        </w:rPr>
        <w:t xml:space="preserve">) yang diperoleh dari Unit Pengembangan Hewan Percobaan (UPHP) Universitas Gadjah Mada, berat badan awal 180 - 200 g, berumur 8-12 minggu, sehat (tidak cacat) dan memiliki GDP &gt; 250 mg/dl. Pengambilan sampel dilakukan dengan metode </w:t>
      </w:r>
      <w:r w:rsidRPr="006C5900">
        <w:rPr>
          <w:rFonts w:ascii="Cambria" w:hAnsi="Cambria" w:cstheme="minorHAnsi"/>
          <w:i/>
          <w:iCs/>
          <w:color w:val="000000" w:themeColor="text1"/>
          <w:lang w:val="id-ID"/>
        </w:rPr>
        <w:t>simple random sampling</w:t>
      </w:r>
      <w:r w:rsidRPr="006C5900">
        <w:rPr>
          <w:rFonts w:ascii="Cambria" w:hAnsi="Cambria" w:cstheme="minorHAnsi"/>
          <w:color w:val="000000" w:themeColor="text1"/>
          <w:lang w:val="id-ID"/>
        </w:rPr>
        <w:t xml:space="preserve"> menjadi 3 kelompok, masing-masing kelompok terdiri dari 6 ekor, yaitu kelompok kontrol negatif</w:t>
      </w:r>
      <w:r w:rsidRPr="006C5900">
        <w:rPr>
          <w:rFonts w:ascii="Cambria" w:hAnsi="Cambria" w:cstheme="minorHAnsi"/>
          <w:color w:val="000000" w:themeColor="text1"/>
        </w:rPr>
        <w:t>,</w:t>
      </w:r>
      <w:r w:rsidRPr="006C5900">
        <w:rPr>
          <w:rFonts w:ascii="Cambria" w:hAnsi="Cambria" w:cstheme="minorHAnsi"/>
          <w:color w:val="000000" w:themeColor="text1"/>
          <w:lang w:val="id-ID"/>
        </w:rPr>
        <w:t xml:space="preserve"> tikus sehat yang diberi pakan standar (K-)</w:t>
      </w:r>
      <w:r w:rsidRPr="006C5900">
        <w:rPr>
          <w:rFonts w:ascii="Cambria" w:hAnsi="Cambria" w:cstheme="minorHAnsi"/>
          <w:color w:val="000000" w:themeColor="text1"/>
        </w:rPr>
        <w:t>;</w:t>
      </w:r>
      <w:r w:rsidRPr="006C5900">
        <w:rPr>
          <w:rFonts w:ascii="Cambria" w:hAnsi="Cambria" w:cstheme="minorHAnsi"/>
          <w:color w:val="000000" w:themeColor="text1"/>
          <w:lang w:val="id-ID"/>
        </w:rPr>
        <w:t xml:space="preserve"> kelompok kontrol positif, tikus DM yang diberi pakan standar (K+)</w:t>
      </w:r>
      <w:r w:rsidRPr="006C5900">
        <w:rPr>
          <w:rFonts w:ascii="Cambria" w:hAnsi="Cambria" w:cstheme="minorHAnsi"/>
          <w:color w:val="000000" w:themeColor="text1"/>
        </w:rPr>
        <w:t>;</w:t>
      </w:r>
      <w:r w:rsidRPr="006C5900">
        <w:rPr>
          <w:rFonts w:ascii="Cambria" w:hAnsi="Cambria" w:cstheme="minorHAnsi"/>
          <w:color w:val="000000" w:themeColor="text1"/>
          <w:lang w:val="id-ID"/>
        </w:rPr>
        <w:t xml:space="preserve"> dan kelompok perlakuan, tikus DM yang diberi pakan intervensi berupa tepung sorgum 5 g/tikus/hari yang dihomogenisasi dengan pakan standar (P).</w:t>
      </w:r>
    </w:p>
    <w:p w14:paraId="29E81DDB" w14:textId="77777777" w:rsidR="00AE2391" w:rsidRPr="006C5900" w:rsidRDefault="00AE2391" w:rsidP="00AE2391">
      <w:pPr>
        <w:spacing w:after="0" w:line="240" w:lineRule="auto"/>
        <w:ind w:firstLine="567"/>
        <w:jc w:val="both"/>
        <w:rPr>
          <w:rFonts w:ascii="Cambria" w:hAnsi="Cambria" w:cstheme="minorHAnsi"/>
          <w:color w:val="000000" w:themeColor="text1"/>
          <w:lang w:val="id-ID"/>
        </w:rPr>
      </w:pPr>
      <w:r w:rsidRPr="006C5900">
        <w:rPr>
          <w:rFonts w:ascii="Cambria" w:hAnsi="Cambria" w:cstheme="minorHAnsi"/>
          <w:color w:val="000000" w:themeColor="text1"/>
          <w:lang w:val="id-ID"/>
        </w:rPr>
        <w:t xml:space="preserve">Seluruh subjek diaklimatisasi dalam kandang individu dan diberi pakan standar </w:t>
      </w:r>
      <w:r w:rsidRPr="006C5900">
        <w:rPr>
          <w:rFonts w:ascii="Cambria" w:hAnsi="Cambria" w:cstheme="minorHAnsi"/>
          <w:i/>
          <w:iCs/>
          <w:color w:val="000000" w:themeColor="text1"/>
          <w:lang w:val="id-ID"/>
        </w:rPr>
        <w:t xml:space="preserve">Comfeed </w:t>
      </w:r>
      <w:r w:rsidRPr="006C5900">
        <w:rPr>
          <w:rFonts w:ascii="Cambria" w:hAnsi="Cambria" w:cstheme="minorHAnsi"/>
          <w:color w:val="000000" w:themeColor="text1"/>
          <w:lang w:val="id-ID"/>
        </w:rPr>
        <w:t xml:space="preserve">AD II sebanyak 20 g/hari serta minum </w:t>
      </w:r>
      <w:r w:rsidRPr="006C5900">
        <w:rPr>
          <w:rFonts w:ascii="Cambria" w:hAnsi="Cambria" w:cstheme="minorHAnsi"/>
          <w:i/>
          <w:iCs/>
          <w:color w:val="000000" w:themeColor="text1"/>
          <w:lang w:val="id-ID"/>
        </w:rPr>
        <w:t xml:space="preserve">ad libitum </w:t>
      </w:r>
      <w:r w:rsidRPr="006C5900">
        <w:rPr>
          <w:rFonts w:ascii="Cambria" w:hAnsi="Cambria" w:cstheme="minorHAnsi"/>
          <w:color w:val="000000" w:themeColor="text1"/>
          <w:lang w:val="id-ID"/>
        </w:rPr>
        <w:t xml:space="preserve">selama 7 hari. </w:t>
      </w:r>
      <w:r w:rsidRPr="006C5900">
        <w:rPr>
          <w:rFonts w:ascii="Cambria" w:hAnsi="Cambria" w:cstheme="minorHAnsi"/>
          <w:i/>
          <w:iCs/>
          <w:color w:val="000000" w:themeColor="text1"/>
          <w:lang w:val="id-ID"/>
        </w:rPr>
        <w:t xml:space="preserve">Comfeed </w:t>
      </w:r>
      <w:r w:rsidRPr="006C5900">
        <w:rPr>
          <w:rFonts w:ascii="Cambria" w:hAnsi="Cambria" w:cstheme="minorHAnsi"/>
          <w:color w:val="000000" w:themeColor="text1"/>
          <w:lang w:val="id-ID"/>
        </w:rPr>
        <w:t xml:space="preserve">AD II mengandung karbohidrat 51%, protein 15%, lemak 7%, dan serat 7%. Tikus dipelihara dalam ruangan berventilasi cukup, siklus pencahayaan 12 jam (siklus terang 06.00-18.00), suhu kandang 25-28°C, dan kandang dibersihkan setiap hari. Sisa pakan ditimbang setiap hari selama intervensi dan berat badan tikus ditimbang 3 hari sekali selama penelitian. Setelah masa aklimatisasi, tikus kelompok kontrol positif dan perlakuan diinjeksi STZ 45 mg/kgBB dan NA 110 mg/kgBB secara intraperitoneal. Selanjutnya 3 hari paska injeksi tikus dipuasakan 8-10 jam lalu diambil darahnya melalui </w:t>
      </w:r>
      <w:r w:rsidRPr="006C5900">
        <w:rPr>
          <w:rFonts w:ascii="Cambria" w:hAnsi="Cambria" w:cstheme="minorHAnsi"/>
          <w:i/>
          <w:iCs/>
          <w:color w:val="000000" w:themeColor="text1"/>
          <w:lang w:val="id-ID"/>
        </w:rPr>
        <w:t>plexus retro orbitaslis</w:t>
      </w:r>
      <w:r w:rsidRPr="006C5900">
        <w:rPr>
          <w:rFonts w:ascii="Cambria" w:hAnsi="Cambria" w:cstheme="minorHAnsi"/>
          <w:color w:val="000000" w:themeColor="text1"/>
          <w:lang w:val="id-ID"/>
        </w:rPr>
        <w:t xml:space="preserve"> untuk mengetahui kadar GDP, kolesterol total, LDL, HDL, trigliserida, dan IAP (pengambilan darah awal/</w:t>
      </w:r>
      <w:r w:rsidRPr="006C5900">
        <w:rPr>
          <w:rFonts w:ascii="Cambria" w:hAnsi="Cambria" w:cstheme="minorHAnsi"/>
          <w:i/>
          <w:iCs/>
          <w:color w:val="000000" w:themeColor="text1"/>
          <w:lang w:val="id-ID"/>
        </w:rPr>
        <w:t>pre-test</w:t>
      </w:r>
      <w:r w:rsidRPr="006C5900">
        <w:rPr>
          <w:rFonts w:ascii="Cambria" w:hAnsi="Cambria" w:cstheme="minorHAnsi"/>
          <w:color w:val="000000" w:themeColor="text1"/>
          <w:lang w:val="id-ID"/>
        </w:rPr>
        <w:t>). Tikus mengalami diabetes apabila kadar GDP &gt;250 mg/dl.</w:t>
      </w:r>
      <w:r w:rsidRPr="006C5900">
        <w:rPr>
          <w:rFonts w:ascii="Cambria" w:hAnsi="Cambria" w:cstheme="minorHAnsi"/>
          <w:color w:val="000000" w:themeColor="text1"/>
          <w:lang w:val="id-ID"/>
        </w:rPr>
        <w:fldChar w:fldCharType="begin" w:fldLock="1"/>
      </w:r>
      <w:r>
        <w:rPr>
          <w:rFonts w:ascii="Cambria" w:hAnsi="Cambria" w:cstheme="minorHAnsi"/>
          <w:color w:val="000000" w:themeColor="text1"/>
          <w:lang w:val="id-ID"/>
        </w:rPr>
        <w:instrText>ADDIN CSL_CITATION { "citationItems" : [ { "id" : "ITEM-1", "itemData" : { "DOI" : "10.1556/APhysiol.101.2014.4.2", "ISSN" : "0231-424X", "author" : [ { "dropping-particle" : "", "family" : "Ghasemi", "given" : "Asghar", "non-dropping-particle" : "", "parse-names" : false, "suffix" : "" }, { "dropping-particle" : "", "family" : "Khalifi", "given" : "S.", "non-dropping-particle" : "", "parse-names" : false, "suffix" : "" }, { "dropping-particle" : "", "family" : "Jedi", "given" : "S.", "non-dropping-particle" : "", "parse-names" : false, "suffix" : "" } ], "container-title" : "Acta Physiologica Hungarica", "id" : "ITEM-1", "issue" : "4", "issued" : { "date-parts" : [ [ "2014", "12" ] ] }, "page" : "408-420", "title" : "Streptozotocin-nicotinamide-induced rat model of type 2 diabetes (review)", "type" : "article-journal", "volume" : "101" }, "uris" : [ "http://www.mendeley.com/documents/?uuid=4d322b18-af3c-4c97-8f6a-3ff543fc3495" ] } ], "mendeley" : { "formattedCitation" : "(Ghasemi, Khalifi, &amp; Jedi, 2014)", "plainTextFormattedCitation" : "(Ghasemi, Khalifi, &amp; Jedi, 2014)", "previouslyFormattedCitation" : "(Ghasemi, Khalifi, &amp; Jedi, 2014)" }, "properties" : { "noteIndex" : 0 }, "schema" : "https://github.com/citation-style-language/schema/raw/master/csl-citation.json" }</w:instrText>
      </w:r>
      <w:r w:rsidRPr="006C5900">
        <w:rPr>
          <w:rFonts w:ascii="Cambria" w:hAnsi="Cambria" w:cstheme="minorHAnsi"/>
          <w:color w:val="000000" w:themeColor="text1"/>
          <w:lang w:val="id-ID"/>
        </w:rPr>
        <w:fldChar w:fldCharType="separate"/>
      </w:r>
      <w:r w:rsidRPr="006C5900">
        <w:rPr>
          <w:rFonts w:ascii="Cambria" w:hAnsi="Cambria" w:cstheme="minorHAnsi"/>
          <w:noProof/>
          <w:color w:val="000000" w:themeColor="text1"/>
          <w:lang w:val="id-ID"/>
        </w:rPr>
        <w:t>(Ghasemi, Khalifi, &amp; Jedi, 2014)</w:t>
      </w:r>
      <w:r w:rsidRPr="006C5900">
        <w:rPr>
          <w:rFonts w:ascii="Cambria" w:hAnsi="Cambria" w:cstheme="minorHAnsi"/>
          <w:color w:val="000000" w:themeColor="text1"/>
          <w:lang w:val="id-ID"/>
        </w:rPr>
        <w:fldChar w:fldCharType="end"/>
      </w:r>
    </w:p>
    <w:p w14:paraId="48CE300D" w14:textId="77777777" w:rsidR="00AE2391" w:rsidRPr="006C5900" w:rsidRDefault="00AE2391" w:rsidP="00AE2391">
      <w:pPr>
        <w:spacing w:after="0" w:line="240" w:lineRule="auto"/>
        <w:ind w:firstLine="567"/>
        <w:jc w:val="both"/>
        <w:rPr>
          <w:rFonts w:ascii="Cambria" w:hAnsi="Cambria" w:cstheme="minorHAnsi"/>
          <w:color w:val="000000" w:themeColor="text1"/>
          <w:lang w:val="id-ID"/>
        </w:rPr>
      </w:pPr>
      <w:r w:rsidRPr="006C5900">
        <w:rPr>
          <w:rFonts w:ascii="Cambria" w:hAnsi="Cambria" w:cstheme="minorHAnsi"/>
          <w:color w:val="000000" w:themeColor="text1"/>
          <w:lang w:val="id-ID"/>
        </w:rPr>
        <w:t xml:space="preserve">Pembuatan pakan intervensi dilakukan dengan cara menggiling biji sorgum utuh yang sudah kering menggunakan grinder dengan ukuran ayakan 70 mesh. Biji sorgum diperoleh dari Pracimantoro, Wonogiri. Tepung sorgum yang sudah jadi kemudian dihomogenisasi dengan pakan standar </w:t>
      </w:r>
      <w:r w:rsidRPr="006C5900">
        <w:rPr>
          <w:rFonts w:ascii="Cambria" w:hAnsi="Cambria" w:cstheme="minorHAnsi"/>
          <w:i/>
          <w:iCs/>
          <w:color w:val="000000" w:themeColor="text1"/>
          <w:lang w:val="id-ID"/>
        </w:rPr>
        <w:t xml:space="preserve">Comfeed </w:t>
      </w:r>
      <w:r w:rsidRPr="006C5900">
        <w:rPr>
          <w:rFonts w:ascii="Cambria" w:hAnsi="Cambria" w:cstheme="minorHAnsi"/>
          <w:color w:val="000000" w:themeColor="text1"/>
          <w:lang w:val="id-ID"/>
        </w:rPr>
        <w:t xml:space="preserve">AD II dengan jumlah tepung sorgum sebanyak 5 g dan pakan standar sebanyak 15 g. Setelah tepung sorgum dicampur dengan pakan standar kemudian dicetak menjadi bentuk pellet menggunakan extruder dan dikeringkan dengan suhu rendah yaitu ±40°C selama 8 jam dengan menggunakan </w:t>
      </w:r>
      <w:r w:rsidRPr="006C5900">
        <w:rPr>
          <w:rFonts w:ascii="Cambria" w:hAnsi="Cambria" w:cstheme="minorHAnsi"/>
          <w:i/>
          <w:iCs/>
          <w:color w:val="000000" w:themeColor="text1"/>
          <w:lang w:val="id-ID"/>
        </w:rPr>
        <w:t xml:space="preserve">cabin dryer. </w:t>
      </w:r>
      <w:r w:rsidRPr="006C5900">
        <w:rPr>
          <w:rFonts w:ascii="Cambria" w:hAnsi="Cambria" w:cstheme="minorHAnsi"/>
          <w:color w:val="000000" w:themeColor="text1"/>
          <w:lang w:val="id-ID"/>
        </w:rPr>
        <w:t>Tepung sorgum mengandung karbohidrat 73,06%, protein, 8,91%, lemak 4,14%, dan serat 8,83%. Proses pembuatan pakan intervensi dilakukan di Laboratorium Pusat Studi Pangan dan Gizi (PSPG), UGM.</w:t>
      </w:r>
    </w:p>
    <w:p w14:paraId="2916463B" w14:textId="77777777" w:rsidR="00AE2391" w:rsidRPr="006C5900" w:rsidRDefault="00AE2391" w:rsidP="00AE2391">
      <w:pPr>
        <w:spacing w:after="0" w:line="240" w:lineRule="auto"/>
        <w:ind w:firstLine="567"/>
        <w:jc w:val="both"/>
        <w:rPr>
          <w:rFonts w:ascii="Cambria" w:eastAsia="Cambria" w:hAnsi="Cambria" w:cs="Cambria"/>
          <w:sz w:val="28"/>
          <w:szCs w:val="28"/>
        </w:rPr>
      </w:pPr>
      <w:r w:rsidRPr="006C5900">
        <w:rPr>
          <w:rFonts w:ascii="Cambria" w:hAnsi="Cambria" w:cstheme="minorHAnsi"/>
          <w:color w:val="000000" w:themeColor="text1"/>
          <w:lang w:val="id-ID"/>
        </w:rPr>
        <w:t xml:space="preserve">Pada masa intervensi, tikus kelompok </w:t>
      </w:r>
      <w:r w:rsidRPr="006C5900">
        <w:rPr>
          <w:rFonts w:ascii="Cambria" w:hAnsi="Cambria" w:cstheme="minorHAnsi"/>
          <w:color w:val="000000" w:themeColor="text1"/>
        </w:rPr>
        <w:t>(P)</w:t>
      </w:r>
      <w:r w:rsidRPr="006C5900">
        <w:rPr>
          <w:rFonts w:ascii="Cambria" w:hAnsi="Cambria" w:cstheme="minorHAnsi"/>
          <w:color w:val="000000" w:themeColor="text1"/>
          <w:lang w:val="id-ID"/>
        </w:rPr>
        <w:t xml:space="preserve"> diberikan pakan intervensi berupa tepung sorgum sebanyak 5 g yang sudah dihomogenisasi dengan pakan standar AD II sebanyak 15 g dan air minum </w:t>
      </w:r>
      <w:r w:rsidRPr="006C5900">
        <w:rPr>
          <w:rFonts w:ascii="Cambria" w:hAnsi="Cambria" w:cstheme="minorHAnsi"/>
          <w:i/>
          <w:iCs/>
          <w:color w:val="000000" w:themeColor="text1"/>
          <w:lang w:val="id-ID"/>
        </w:rPr>
        <w:t>ad libitum</w:t>
      </w:r>
      <w:r w:rsidRPr="006C5900">
        <w:rPr>
          <w:rFonts w:ascii="Cambria" w:hAnsi="Cambria" w:cstheme="minorHAnsi"/>
          <w:color w:val="000000" w:themeColor="text1"/>
          <w:lang w:val="id-ID"/>
        </w:rPr>
        <w:t xml:space="preserve">, sedangkan kelompok </w:t>
      </w:r>
      <w:r w:rsidRPr="006C5900">
        <w:rPr>
          <w:rFonts w:ascii="Cambria" w:hAnsi="Cambria" w:cstheme="minorHAnsi"/>
          <w:color w:val="000000" w:themeColor="text1"/>
        </w:rPr>
        <w:t>(K-) dan (K+)</w:t>
      </w:r>
      <w:r w:rsidRPr="006C5900">
        <w:rPr>
          <w:rFonts w:ascii="Cambria" w:hAnsi="Cambria" w:cstheme="minorHAnsi"/>
          <w:color w:val="000000" w:themeColor="text1"/>
          <w:lang w:val="id-ID"/>
        </w:rPr>
        <w:t xml:space="preserve"> hanya diberikan pakan standar AD II sebanyak 20 g dan air minum </w:t>
      </w:r>
      <w:r w:rsidRPr="006C5900">
        <w:rPr>
          <w:rFonts w:ascii="Cambria" w:hAnsi="Cambria" w:cstheme="minorHAnsi"/>
          <w:i/>
          <w:iCs/>
          <w:color w:val="000000" w:themeColor="text1"/>
          <w:lang w:val="id-ID"/>
        </w:rPr>
        <w:t>ad libitum</w:t>
      </w:r>
      <w:r w:rsidRPr="006C5900">
        <w:rPr>
          <w:rFonts w:ascii="Cambria" w:hAnsi="Cambria" w:cstheme="minorHAnsi"/>
          <w:color w:val="000000" w:themeColor="text1"/>
          <w:lang w:val="id-ID"/>
        </w:rPr>
        <w:t xml:space="preserve">. Intervensi dilakukan selama 28 hari. Setelah intervensi, tikus dipuasakan 8-10 jam kemudian dianastesi menggunakan ketamin 60 mg/kg BB tikus. Lalu dilakukan pengambilan darah tikus melalui </w:t>
      </w:r>
      <w:r w:rsidRPr="006C5900">
        <w:rPr>
          <w:rFonts w:ascii="Cambria" w:hAnsi="Cambria" w:cstheme="minorHAnsi"/>
          <w:i/>
          <w:iCs/>
          <w:color w:val="000000" w:themeColor="text1"/>
          <w:lang w:val="id-ID"/>
        </w:rPr>
        <w:t xml:space="preserve">plexus retro orbitalis </w:t>
      </w:r>
      <w:r w:rsidRPr="006C5900">
        <w:rPr>
          <w:rFonts w:ascii="Cambria" w:hAnsi="Cambria" w:cstheme="minorHAnsi"/>
          <w:color w:val="000000" w:themeColor="text1"/>
          <w:lang w:val="id-ID"/>
        </w:rPr>
        <w:t>untuk pemeriksaan kadar trigliserida, kolesterol total, LDL, HDL, dan untuk mendapatkan nilai IAP (</w:t>
      </w:r>
      <w:r w:rsidRPr="006C5900">
        <w:rPr>
          <w:rFonts w:ascii="Cambria" w:hAnsi="Cambria" w:cstheme="minorHAnsi"/>
          <w:i/>
          <w:iCs/>
          <w:color w:val="000000" w:themeColor="text1"/>
          <w:lang w:val="id-ID"/>
        </w:rPr>
        <w:t>post-test</w:t>
      </w:r>
      <w:r w:rsidRPr="006C5900">
        <w:rPr>
          <w:rFonts w:ascii="Cambria" w:hAnsi="Cambria" w:cstheme="minorHAnsi"/>
          <w:color w:val="000000" w:themeColor="text1"/>
          <w:lang w:val="id-ID"/>
        </w:rPr>
        <w:t xml:space="preserve">). Kadar trigliserida ditentukan dengan metode </w:t>
      </w:r>
      <w:r w:rsidRPr="006C5900">
        <w:rPr>
          <w:rFonts w:ascii="Cambria" w:hAnsi="Cambria" w:cstheme="minorHAnsi"/>
          <w:i/>
          <w:iCs/>
          <w:color w:val="000000" w:themeColor="text1"/>
          <w:lang w:val="id-ID"/>
        </w:rPr>
        <w:t xml:space="preserve">Glycerol 3 Phosphate Oxidase-Phenol Amino Phenazone </w:t>
      </w:r>
      <w:r w:rsidRPr="006C5900">
        <w:rPr>
          <w:rFonts w:ascii="Cambria" w:hAnsi="Cambria" w:cstheme="minorHAnsi"/>
          <w:color w:val="000000" w:themeColor="text1"/>
          <w:lang w:val="id-ID"/>
        </w:rPr>
        <w:t xml:space="preserve">(GPO-PAP) dan kolesterol total, LDL, dan HDL menggunakan </w:t>
      </w:r>
      <w:r w:rsidRPr="006C5900">
        <w:rPr>
          <w:rFonts w:ascii="Cambria" w:hAnsi="Cambria" w:cstheme="minorHAnsi"/>
          <w:i/>
          <w:iCs/>
          <w:color w:val="000000" w:themeColor="text1"/>
          <w:lang w:val="id-ID"/>
        </w:rPr>
        <w:t xml:space="preserve">Cholesterol Oxidase-Peroxidase Aminoantipyrine Phenol </w:t>
      </w:r>
      <w:r w:rsidRPr="006C5900">
        <w:rPr>
          <w:rFonts w:ascii="Cambria" w:hAnsi="Cambria" w:cstheme="minorHAnsi"/>
          <w:color w:val="000000" w:themeColor="text1"/>
          <w:lang w:val="id-ID"/>
        </w:rPr>
        <w:t xml:space="preserve">(CHOD-PAP) dengan prinsip spektrofotometri enzimatis. </w:t>
      </w:r>
      <w:r w:rsidRPr="006C5900">
        <w:rPr>
          <w:rFonts w:ascii="Cambria" w:hAnsi="Cambria" w:cstheme="minorHAnsi"/>
          <w:lang w:val="id-ID"/>
        </w:rPr>
        <w:t xml:space="preserve">Sedangkan, Indeks Aterogenik Plasma (IAP) dihitung dari log(TG/HDL). </w:t>
      </w:r>
      <w:r w:rsidRPr="006C5900">
        <w:rPr>
          <w:rFonts w:ascii="Cambria" w:hAnsi="Cambria" w:cstheme="minorHAnsi"/>
          <w:color w:val="000000" w:themeColor="text1"/>
          <w:lang w:val="id-ID"/>
        </w:rPr>
        <w:t xml:space="preserve">Serum darah tikus dianalisis di laboratorium Pusat Studi Pangan dan Gizi, Universitas Gadjah Mada Yogyakarta. </w:t>
      </w:r>
      <w:r w:rsidRPr="006C5900">
        <w:rPr>
          <w:rFonts w:ascii="Cambria" w:hAnsi="Cambria" w:cstheme="minorHAnsi"/>
          <w:color w:val="000000" w:themeColor="text1"/>
        </w:rPr>
        <w:t xml:space="preserve"> </w:t>
      </w:r>
    </w:p>
    <w:p w14:paraId="5691014D" w14:textId="77777777" w:rsidR="00AE2391" w:rsidRDefault="00AE2391" w:rsidP="00AE2391">
      <w:pPr>
        <w:spacing w:after="0" w:line="240" w:lineRule="auto"/>
        <w:ind w:firstLine="567"/>
        <w:jc w:val="both"/>
        <w:rPr>
          <w:rFonts w:ascii="Cambria" w:hAnsi="Cambria" w:cstheme="minorHAnsi"/>
          <w:color w:val="000000" w:themeColor="text1"/>
          <w:lang w:val="id-ID"/>
        </w:rPr>
      </w:pPr>
      <w:r w:rsidRPr="006C5900">
        <w:rPr>
          <w:rFonts w:ascii="Cambria" w:hAnsi="Cambria" w:cstheme="minorHAnsi"/>
          <w:color w:val="000000" w:themeColor="text1"/>
          <w:lang w:val="id-ID"/>
        </w:rPr>
        <w:t xml:space="preserve">Normalitas data diuji dengan </w:t>
      </w:r>
      <w:r w:rsidRPr="006C5900">
        <w:rPr>
          <w:rFonts w:ascii="Cambria" w:hAnsi="Cambria" w:cstheme="minorHAnsi"/>
          <w:i/>
          <w:iCs/>
          <w:color w:val="000000" w:themeColor="text1"/>
          <w:lang w:val="id-ID"/>
        </w:rPr>
        <w:t>Shapiro-Wilk</w:t>
      </w:r>
      <w:r w:rsidRPr="006C5900">
        <w:rPr>
          <w:rFonts w:ascii="Cambria" w:hAnsi="Cambria" w:cstheme="minorHAnsi"/>
          <w:color w:val="000000" w:themeColor="text1"/>
          <w:lang w:val="id-ID"/>
        </w:rPr>
        <w:t xml:space="preserve">. Perbedaan kadar trigliserida, kolesterol total, trigliserida, HDL, LDL, dan nilai IAP sebelum dan setelah pemberian tepung sorgum pada kelompok (K-), (K+), dan (P) diuji menggunakan </w:t>
      </w:r>
      <w:r w:rsidRPr="006C5900">
        <w:rPr>
          <w:rFonts w:ascii="Cambria" w:hAnsi="Cambria" w:cstheme="minorHAnsi"/>
          <w:i/>
          <w:iCs/>
          <w:color w:val="000000" w:themeColor="text1"/>
          <w:lang w:val="id-ID"/>
        </w:rPr>
        <w:t xml:space="preserve">Paired T-Test </w:t>
      </w:r>
      <w:r w:rsidRPr="006C5900">
        <w:rPr>
          <w:rFonts w:ascii="Cambria" w:hAnsi="Cambria" w:cstheme="minorHAnsi"/>
          <w:color w:val="000000" w:themeColor="text1"/>
          <w:lang w:val="id-ID"/>
        </w:rPr>
        <w:t xml:space="preserve">pada data yang berdistribusi normal dan menggunakan </w:t>
      </w:r>
      <w:r w:rsidRPr="006C5900">
        <w:rPr>
          <w:rFonts w:ascii="Cambria" w:hAnsi="Cambria" w:cstheme="minorHAnsi"/>
          <w:i/>
          <w:iCs/>
          <w:color w:val="000000" w:themeColor="text1"/>
          <w:lang w:val="id-ID"/>
        </w:rPr>
        <w:t xml:space="preserve">Wilcoxon </w:t>
      </w:r>
      <w:r w:rsidRPr="006C5900">
        <w:rPr>
          <w:rFonts w:ascii="Cambria" w:hAnsi="Cambria" w:cstheme="minorHAnsi"/>
          <w:color w:val="000000" w:themeColor="text1"/>
          <w:lang w:val="id-ID"/>
        </w:rPr>
        <w:t>pada data yang berdistribusi tidak normal</w:t>
      </w:r>
      <w:r w:rsidRPr="006C5900">
        <w:rPr>
          <w:rFonts w:ascii="Cambria" w:hAnsi="Cambria" w:cstheme="minorHAnsi"/>
          <w:i/>
          <w:iCs/>
          <w:color w:val="000000" w:themeColor="text1"/>
          <w:lang w:val="id-ID"/>
        </w:rPr>
        <w:t xml:space="preserve">. </w:t>
      </w:r>
      <w:r w:rsidRPr="006C5900">
        <w:rPr>
          <w:rFonts w:ascii="Cambria" w:hAnsi="Cambria" w:cstheme="minorHAnsi"/>
          <w:color w:val="000000" w:themeColor="text1"/>
          <w:lang w:val="id-ID"/>
        </w:rPr>
        <w:t xml:space="preserve">Perbedaan pengaruh antar kelompok dianalisis dengan uji statistik parametrik ANOVA pada data yang </w:t>
      </w:r>
      <w:r w:rsidRPr="006C5900">
        <w:rPr>
          <w:rFonts w:ascii="Cambria" w:hAnsi="Cambria" w:cstheme="minorHAnsi"/>
          <w:color w:val="000000" w:themeColor="text1"/>
          <w:lang w:val="id-ID"/>
        </w:rPr>
        <w:lastRenderedPageBreak/>
        <w:t xml:space="preserve">berdistribusi normal dan dilanjutkan dengan uji </w:t>
      </w:r>
      <w:r w:rsidRPr="006C5900">
        <w:rPr>
          <w:rFonts w:ascii="Cambria" w:hAnsi="Cambria" w:cstheme="minorHAnsi"/>
          <w:i/>
          <w:iCs/>
          <w:color w:val="000000" w:themeColor="text1"/>
          <w:lang w:val="id-ID"/>
        </w:rPr>
        <w:t>Post Hoc Duncan</w:t>
      </w:r>
      <w:r w:rsidRPr="006C5900">
        <w:rPr>
          <w:rFonts w:ascii="Cambria" w:hAnsi="Cambria" w:cstheme="minorHAnsi"/>
          <w:color w:val="000000" w:themeColor="text1"/>
          <w:lang w:val="id-ID"/>
        </w:rPr>
        <w:t xml:space="preserve">. Data yang berdistribusi tidak normal diuji statistik non-parametrik </w:t>
      </w:r>
      <w:r w:rsidRPr="006C5900">
        <w:rPr>
          <w:rFonts w:ascii="Cambria" w:hAnsi="Cambria" w:cstheme="minorHAnsi"/>
          <w:i/>
          <w:iCs/>
          <w:color w:val="000000" w:themeColor="text1"/>
          <w:lang w:val="id-ID"/>
        </w:rPr>
        <w:t xml:space="preserve">Kruskal Wallis </w:t>
      </w:r>
      <w:r w:rsidRPr="006C5900">
        <w:rPr>
          <w:rFonts w:ascii="Cambria" w:hAnsi="Cambria" w:cstheme="minorHAnsi"/>
          <w:color w:val="000000" w:themeColor="text1"/>
          <w:lang w:val="id-ID"/>
        </w:rPr>
        <w:t xml:space="preserve">dan dilanjutkan dengan </w:t>
      </w:r>
      <w:r w:rsidRPr="006C5900">
        <w:rPr>
          <w:rFonts w:ascii="Cambria" w:hAnsi="Cambria" w:cstheme="minorHAnsi"/>
          <w:i/>
          <w:iCs/>
          <w:color w:val="000000" w:themeColor="text1"/>
          <w:lang w:val="id-ID"/>
        </w:rPr>
        <w:t xml:space="preserve">Mann-Whitney Test </w:t>
      </w:r>
      <w:r w:rsidRPr="006C5900">
        <w:rPr>
          <w:rFonts w:ascii="Cambria" w:hAnsi="Cambria" w:cstheme="minorHAnsi"/>
          <w:color w:val="000000" w:themeColor="text1"/>
          <w:lang w:val="id-ID"/>
        </w:rPr>
        <w:t>untuk melihat perbedaan pengaruh antar kelompok.</w:t>
      </w:r>
    </w:p>
    <w:p w14:paraId="13EBC5D6" w14:textId="77777777" w:rsidR="00AE2391" w:rsidRPr="006C5900" w:rsidRDefault="00AE2391" w:rsidP="00AE2391">
      <w:pPr>
        <w:spacing w:after="0" w:line="240" w:lineRule="auto"/>
        <w:ind w:firstLine="567"/>
        <w:jc w:val="both"/>
        <w:rPr>
          <w:rFonts w:ascii="Cambria" w:eastAsia="Cambria" w:hAnsi="Cambria" w:cs="Cambria"/>
          <w:sz w:val="28"/>
          <w:szCs w:val="28"/>
        </w:rPr>
      </w:pPr>
    </w:p>
    <w:p w14:paraId="57115492" w14:textId="77777777" w:rsidR="00AE2391" w:rsidRDefault="00AE2391" w:rsidP="00AE2391">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Hasil dan </w:t>
      </w:r>
      <w:proofErr w:type="spellStart"/>
      <w:r>
        <w:rPr>
          <w:rFonts w:ascii="Cambria" w:eastAsia="Cambria" w:hAnsi="Cambria" w:cs="Cambria"/>
          <w:b/>
          <w:color w:val="000000"/>
          <w:sz w:val="28"/>
          <w:szCs w:val="28"/>
        </w:rPr>
        <w:t>Pembahasan</w:t>
      </w:r>
      <w:proofErr w:type="spellEnd"/>
    </w:p>
    <w:p w14:paraId="4EE636DC" w14:textId="77777777" w:rsidR="00AE2391" w:rsidRPr="00295A79" w:rsidRDefault="00AE2391" w:rsidP="00AE2391">
      <w:pPr>
        <w:pStyle w:val="Default"/>
        <w:jc w:val="both"/>
        <w:rPr>
          <w:rFonts w:ascii="Cambria" w:hAnsi="Cambria" w:cstheme="minorHAnsi"/>
          <w:color w:val="000000" w:themeColor="text1"/>
          <w:sz w:val="22"/>
          <w:szCs w:val="22"/>
          <w:lang w:val="id-ID"/>
        </w:rPr>
      </w:pPr>
      <w:r w:rsidRPr="00295A79">
        <w:rPr>
          <w:rFonts w:ascii="Cambria" w:hAnsi="Cambria" w:cstheme="minorHAnsi"/>
          <w:b/>
          <w:bCs/>
          <w:color w:val="000000" w:themeColor="text1"/>
          <w:sz w:val="22"/>
          <w:szCs w:val="22"/>
          <w:lang w:val="id-ID"/>
        </w:rPr>
        <w:t xml:space="preserve">Kondisi Subjek Setelah Injeksi </w:t>
      </w:r>
      <w:r w:rsidRPr="00295A79">
        <w:rPr>
          <w:rFonts w:ascii="Cambria" w:hAnsi="Cambria" w:cstheme="minorHAnsi"/>
          <w:b/>
          <w:bCs/>
          <w:i/>
          <w:iCs/>
          <w:color w:val="000000" w:themeColor="text1"/>
          <w:sz w:val="22"/>
          <w:szCs w:val="22"/>
          <w:lang w:val="id-ID"/>
        </w:rPr>
        <w:t xml:space="preserve">Streptozotocin </w:t>
      </w:r>
      <w:r w:rsidRPr="00295A79">
        <w:rPr>
          <w:rFonts w:ascii="Cambria" w:hAnsi="Cambria" w:cstheme="minorHAnsi"/>
          <w:b/>
          <w:bCs/>
          <w:color w:val="000000" w:themeColor="text1"/>
          <w:sz w:val="22"/>
          <w:szCs w:val="22"/>
          <w:lang w:val="id-ID"/>
        </w:rPr>
        <w:t xml:space="preserve">(STZ) dan </w:t>
      </w:r>
      <w:r w:rsidRPr="00295A79">
        <w:rPr>
          <w:rFonts w:ascii="Cambria" w:hAnsi="Cambria" w:cstheme="minorHAnsi"/>
          <w:b/>
          <w:bCs/>
          <w:i/>
          <w:iCs/>
          <w:color w:val="000000" w:themeColor="text1"/>
          <w:sz w:val="22"/>
          <w:szCs w:val="22"/>
          <w:lang w:val="id-ID"/>
        </w:rPr>
        <w:t xml:space="preserve">Nicotinamide </w:t>
      </w:r>
      <w:r w:rsidRPr="00295A79">
        <w:rPr>
          <w:rFonts w:ascii="Cambria" w:hAnsi="Cambria" w:cstheme="minorHAnsi"/>
          <w:b/>
          <w:bCs/>
          <w:color w:val="000000" w:themeColor="text1"/>
          <w:sz w:val="22"/>
          <w:szCs w:val="22"/>
          <w:lang w:val="id-ID"/>
        </w:rPr>
        <w:t>(NA)</w:t>
      </w:r>
    </w:p>
    <w:p w14:paraId="70D37D3F" w14:textId="77777777" w:rsidR="00AE2391" w:rsidRDefault="00AE2391" w:rsidP="00AE2391">
      <w:pPr>
        <w:pStyle w:val="Default"/>
        <w:ind w:firstLine="720"/>
        <w:jc w:val="both"/>
        <w:rPr>
          <w:rFonts w:ascii="Cambria" w:hAnsi="Cambria" w:cstheme="minorHAnsi"/>
          <w:sz w:val="22"/>
          <w:szCs w:val="22"/>
          <w:lang w:val="en-US"/>
        </w:rPr>
      </w:pPr>
      <w:r w:rsidRPr="00295A79">
        <w:rPr>
          <w:rFonts w:ascii="Cambria" w:hAnsi="Cambria" w:cstheme="minorHAnsi"/>
          <w:color w:val="000000" w:themeColor="text1"/>
          <w:sz w:val="22"/>
          <w:szCs w:val="22"/>
          <w:lang w:val="id-ID"/>
        </w:rPr>
        <w:t>Berdasarkan tabel 1, kelompok kontrol negatif (K-) memiliki rata-rata GDP pada rentang normal. Rerata berat badan tikus antar kelompok tidak terdapat perbedaan signifikan (</w:t>
      </w:r>
      <w:r w:rsidRPr="00295A79">
        <w:rPr>
          <w:rFonts w:ascii="Cambria" w:hAnsi="Cambria" w:cstheme="minorHAnsi"/>
          <w:i/>
          <w:iCs/>
          <w:color w:val="000000" w:themeColor="text1"/>
          <w:sz w:val="22"/>
          <w:szCs w:val="22"/>
          <w:lang w:val="id-ID"/>
        </w:rPr>
        <w:t>p</w:t>
      </w:r>
      <w:r w:rsidRPr="00295A79">
        <w:rPr>
          <w:rFonts w:ascii="Cambria" w:hAnsi="Cambria" w:cstheme="minorHAnsi"/>
          <w:color w:val="000000" w:themeColor="text1"/>
          <w:sz w:val="22"/>
          <w:szCs w:val="22"/>
          <w:lang w:val="id-ID"/>
        </w:rPr>
        <w:t xml:space="preserve">&gt;0,05). </w:t>
      </w:r>
      <w:r w:rsidRPr="00295A79">
        <w:rPr>
          <w:rFonts w:ascii="Cambria" w:hAnsi="Cambria" w:cstheme="minorHAnsi"/>
          <w:sz w:val="22"/>
          <w:szCs w:val="22"/>
          <w:lang w:val="id-ID"/>
        </w:rPr>
        <w:t xml:space="preserve">Pengkondisian tikus DM setelah injeksi </w:t>
      </w:r>
      <w:r w:rsidRPr="00295A79">
        <w:rPr>
          <w:rFonts w:ascii="Cambria" w:hAnsi="Cambria" w:cstheme="minorHAnsi"/>
          <w:i/>
          <w:iCs/>
          <w:sz w:val="22"/>
          <w:szCs w:val="22"/>
          <w:lang w:val="id-ID"/>
        </w:rPr>
        <w:t xml:space="preserve">streptozotocin </w:t>
      </w:r>
      <w:r w:rsidRPr="00295A79">
        <w:rPr>
          <w:rFonts w:ascii="Cambria" w:hAnsi="Cambria" w:cstheme="minorHAnsi"/>
          <w:sz w:val="22"/>
          <w:szCs w:val="22"/>
          <w:lang w:val="id-ID"/>
        </w:rPr>
        <w:t xml:space="preserve">(STZ) dan </w:t>
      </w:r>
      <w:r w:rsidRPr="00295A79">
        <w:rPr>
          <w:rFonts w:ascii="Cambria" w:hAnsi="Cambria" w:cstheme="minorHAnsi"/>
          <w:i/>
          <w:iCs/>
          <w:sz w:val="22"/>
          <w:szCs w:val="22"/>
          <w:lang w:val="id-ID"/>
        </w:rPr>
        <w:t xml:space="preserve">nicotinamide </w:t>
      </w:r>
      <w:r w:rsidRPr="00295A79">
        <w:rPr>
          <w:rFonts w:ascii="Cambria" w:hAnsi="Cambria" w:cstheme="minorHAnsi"/>
          <w:sz w:val="22"/>
          <w:szCs w:val="22"/>
          <w:lang w:val="id-ID"/>
        </w:rPr>
        <w:t>(NA) menunjukkan bahwa tikus kelompok kontrol positif (K+) dan perlakuan (P) mengalami DM dengan kadar glukosa darah puasa (GDP) &gt;250 mg/dl</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"DOI" : "10.1556/APhysiol.101.2014.4.2", "ISSN" : "0231-424X", "author" : [ { "dropping-particle" : "", "family" : "Ghasemi", "given" : "Asghar", "non-dropping-particle" : "", "parse-names" : false, "suffix" : "" }, { "dropping-particle" : "", "family" : "Khalifi", "given" : "S.", "non-dropping-particle" : "", "parse-names" : false, "suffix" : "" }, { "dropping-particle" : "", "family" : "Jedi", "given" : "S.", "non-dropping-particle" : "", "parse-names" : false, "suffix" : "" } ], "container-title" : "Acta Physiologica Hungarica", "id" : "ITEM-1", "issue" : "4", "issued" : { "date-parts" : [ [ "2014", "12" ] ] }, "page" : "408-420", "title" : "Streptozotocin-nicotinamide-induced rat model of type 2 diabetes (review)", "type" : "article-journal", "volume" : "101" }, "uris" : [ "http://www.mendeley.com/documents/?uuid=4d322b18-af3c-4c97-8f6a-3ff543fc3495" ] } ], "mendeley" : { "formattedCitation" : "(Ghasemi et al., 2014)", "plainTextFormattedCitation" : "(Ghasemi et al., 2014)", "previouslyFormattedCitation" : "(Ghasemi et al., 2014)"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(Ghasemi et al., 2014)</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en-US"/>
        </w:rPr>
        <w:t xml:space="preserve"> </w:t>
      </w:r>
      <w:r w:rsidRPr="00295A79">
        <w:rPr>
          <w:rFonts w:ascii="Cambria" w:hAnsi="Cambria" w:cstheme="minorHAnsi"/>
          <w:sz w:val="22"/>
          <w:szCs w:val="22"/>
          <w:lang w:val="id-ID"/>
        </w:rPr>
        <w:t xml:space="preserve">Terjadinya DM tersebut dikarenakan STZ bekerja langsung pada sel β pankreas, dengan aksi sitotoksik yang dimediatori oleh </w:t>
      </w:r>
      <w:r w:rsidRPr="00295A79">
        <w:rPr>
          <w:rFonts w:ascii="Cambria" w:hAnsi="Cambria" w:cstheme="minorHAnsi"/>
          <w:i/>
          <w:iCs/>
          <w:sz w:val="22"/>
          <w:szCs w:val="22"/>
          <w:lang w:val="id-ID"/>
        </w:rPr>
        <w:t>reactive oxygen species</w:t>
      </w:r>
      <w:r w:rsidRPr="00295A79">
        <w:rPr>
          <w:rFonts w:ascii="Cambria" w:hAnsi="Cambria" w:cstheme="minorHAnsi"/>
          <w:sz w:val="22"/>
          <w:szCs w:val="22"/>
          <w:lang w:val="id-ID"/>
        </w:rPr>
        <w:t xml:space="preserve"> (ROS). STZ masuk ke sel β pankreas melalui </w:t>
      </w:r>
      <w:r w:rsidRPr="00295A79">
        <w:rPr>
          <w:rFonts w:ascii="Cambria" w:hAnsi="Cambria" w:cstheme="minorHAnsi"/>
          <w:i/>
          <w:iCs/>
          <w:sz w:val="22"/>
          <w:szCs w:val="22"/>
          <w:lang w:val="id-ID"/>
        </w:rPr>
        <w:t xml:space="preserve">glucose transporter </w:t>
      </w:r>
      <w:r w:rsidRPr="00295A79">
        <w:rPr>
          <w:rFonts w:ascii="Cambria" w:hAnsi="Cambria" w:cstheme="minorHAnsi"/>
          <w:sz w:val="22"/>
          <w:szCs w:val="22"/>
          <w:lang w:val="id-ID"/>
        </w:rPr>
        <w:t>(GLUT2) dan menyebabkan menurunnya ekskresi dari GLUT2. Hal ini mengakibatkan menurunnya sensitifitas reseptor insulin perifer sehingga berdampak pada meningkatnya resistensi insulin dan meningkatkan kadar glukosa darah</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"Firdaus", "given" : "Firdaus", "non-dropping-particle" : "", "parse-names" : false, "suffix" : "" }, { "dropping-particle" : "", "family" : "Rimbawan", "given" : "Rimbawan", "non-dropping-particle" : "", "parse-names" : false, "suffix" : "" }, { "dropping-particle" : "", "family" : "Marliyati", "given" : "Sri Anna", "non-dropping-particle" : "", "parse-names" : false, "suffix" : "" }, { "dropping-particle" : "", "family" : "Roosita", "given" : "Katrin", "non-dropping-particle" : "", "parse-names" : false, "suffix" : "" } ], "container-title" : "JURNAL MKMI", "id" : "ITEM-1", "issue" : "1", "issued" : { "date-parts" : [ [ "2016" ] ] }, "page" : "29-34", "title" : "Model Tikus Diabetes Yang Diinduksi Streptozotocin-Sukrosa Untuk Pendekatan Penelitian Diabetes Melitus Gestasional", "type" : "article-journal", "volume" : "12" }, "uris" : [ "http://www.mendeley.com/documents/?uuid=646c3a41-dac9-4212-8e7f-d5fee401ff1a" ] } ], "mendeley" : { "formattedCitation" : "(Firdaus, Rimbawan, Marliyati, &amp; Roosita, 2016)", "plainTextFormattedCitation" : "(Firdaus, Rimbawan, Marliyati, &amp; Roosita, 2016)", "previouslyFormattedCitation" : "(Firdaus, Rimbawan, Marliyati, &amp; Roosita, 2016)"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(Firdaus, Rimbawan, Marliyati, &amp; Roosita, 2016)</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id-ID"/>
        </w:rPr>
        <w:t xml:space="preserve"> Pemberian NA berfungsi untuk mempertahankan sensitivitas sel β pankreas, sehingga tidak menimbulkan toksisitas berlebih yang disebakan oleh STZ</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"DOI" : "10.1146/annurev.nutr.28.061807.155443", "ISSN" : "0199-9885", "author" : [ { "dropping-particle" : "", "family" : "Bogan", "given" : "Katrina L", "non-dropping-particle" : "", "parse-names" : false, "suffix" : "" }, { "dropping-particle" : "", "family" : "Brenner", "given" : "Charles", "non-dropping-particle" : "", "parse-names" : false, "suffix" : "" } ], "container-title" : "Annual Review of Nutrition", "id" : "ITEM-1", "issue" : "1", "issued" : { "date-parts" : [ [ "2008", "8" ] ] }, "page" : "115-130", "title" : "Nicotinic Acid, Nicotinamide, and Nicotinamide Riboside: A Molecular Evaluation of NAD + Precursor Vitamins in Human Nutrition", "type" : "article-journal", "volume" : "28" }, "uris" : [ "http://www.mendeley.com/documents/?uuid=7a6b5414-b8c3-4e13-990b-c423da01e128" ] } ], "mendeley" : { "formattedCitation" : "(Bogan &amp; Brenner, 2008)", "plainTextFormattedCitation" : "(Bogan &amp; Brenner, 2008)", "previouslyFormattedCitation" : "(Bogan &amp; Brenner, 2008)"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(Bogan &amp; Brenner, 2008)</w:t>
      </w:r>
      <w:r w:rsidRPr="00295A79">
        <w:rPr>
          <w:rFonts w:ascii="Cambria" w:hAnsi="Cambria" w:cstheme="minorHAnsi"/>
          <w:sz w:val="22"/>
          <w:szCs w:val="22"/>
          <w:lang w:val="id-ID"/>
        </w:rPr>
        <w:fldChar w:fldCharType="end"/>
      </w:r>
      <w:r>
        <w:rPr>
          <w:rFonts w:ascii="Cambria" w:hAnsi="Cambria" w:cstheme="minorHAnsi"/>
          <w:sz w:val="22"/>
          <w:szCs w:val="22"/>
          <w:lang w:val="en-US"/>
        </w:rPr>
        <w:t>.</w:t>
      </w:r>
    </w:p>
    <w:p w14:paraId="7C78C63B" w14:textId="77777777" w:rsidR="00AE2391" w:rsidRDefault="00AE2391" w:rsidP="00AE2391">
      <w:pPr>
        <w:pStyle w:val="Default"/>
        <w:ind w:firstLine="720"/>
        <w:jc w:val="both"/>
        <w:rPr>
          <w:rFonts w:ascii="Cambria" w:hAnsi="Cambria" w:cstheme="minorHAnsi"/>
          <w:sz w:val="22"/>
          <w:szCs w:val="22"/>
          <w:lang w:val="en-US"/>
        </w:rPr>
      </w:pPr>
    </w:p>
    <w:p w14:paraId="4059B873" w14:textId="77777777" w:rsidR="00AE2391" w:rsidRPr="00157E18" w:rsidRDefault="00AE2391" w:rsidP="00AE2391">
      <w:pPr>
        <w:pStyle w:val="Caption"/>
        <w:spacing w:after="0"/>
        <w:jc w:val="both"/>
        <w:rPr>
          <w:rFonts w:ascii="Cambria" w:hAnsi="Cambria" w:cstheme="minorHAnsi"/>
          <w:i w:val="0"/>
          <w:iCs w:val="0"/>
          <w:color w:val="000000" w:themeColor="text1"/>
          <w:sz w:val="22"/>
          <w:szCs w:val="22"/>
          <w:lang w:val="id-ID"/>
        </w:rPr>
      </w:pPr>
      <w:r w:rsidRPr="00157E18">
        <w:rPr>
          <w:rFonts w:ascii="Cambria" w:hAnsi="Cambria" w:cstheme="minorHAnsi"/>
          <w:b/>
          <w:bCs/>
          <w:i w:val="0"/>
          <w:iCs w:val="0"/>
          <w:color w:val="000000" w:themeColor="text1"/>
          <w:sz w:val="22"/>
          <w:szCs w:val="22"/>
          <w:lang w:val="id-ID"/>
        </w:rPr>
        <w:t xml:space="preserve">Tabel </w:t>
      </w:r>
      <w:r w:rsidRPr="00157E18">
        <w:rPr>
          <w:rFonts w:ascii="Cambria" w:hAnsi="Cambria" w:cstheme="minorHAnsi"/>
          <w:b/>
          <w:bCs/>
          <w:i w:val="0"/>
          <w:iCs w:val="0"/>
          <w:color w:val="000000" w:themeColor="text1"/>
          <w:sz w:val="22"/>
          <w:szCs w:val="22"/>
          <w:lang w:val="id-ID"/>
        </w:rPr>
        <w:fldChar w:fldCharType="begin"/>
      </w:r>
      <w:r w:rsidRPr="00157E18">
        <w:rPr>
          <w:rFonts w:ascii="Cambria" w:hAnsi="Cambria" w:cstheme="minorHAnsi"/>
          <w:b/>
          <w:bCs/>
          <w:i w:val="0"/>
          <w:iCs w:val="0"/>
          <w:color w:val="000000" w:themeColor="text1"/>
          <w:sz w:val="22"/>
          <w:szCs w:val="22"/>
          <w:lang w:val="id-ID"/>
        </w:rPr>
        <w:instrText xml:space="preserve"> SEQ Tabel \* ARABIC </w:instrText>
      </w:r>
      <w:r w:rsidRPr="00157E18">
        <w:rPr>
          <w:rFonts w:ascii="Cambria" w:hAnsi="Cambria" w:cstheme="minorHAnsi"/>
          <w:b/>
          <w:bCs/>
          <w:i w:val="0"/>
          <w:iCs w:val="0"/>
          <w:color w:val="000000" w:themeColor="text1"/>
          <w:sz w:val="22"/>
          <w:szCs w:val="22"/>
          <w:lang w:val="id-ID"/>
        </w:rPr>
        <w:fldChar w:fldCharType="separate"/>
      </w:r>
      <w:r>
        <w:rPr>
          <w:rFonts w:ascii="Cambria" w:hAnsi="Cambria" w:cstheme="minorHAnsi"/>
          <w:b/>
          <w:bCs/>
          <w:i w:val="0"/>
          <w:iCs w:val="0"/>
          <w:noProof/>
          <w:color w:val="000000" w:themeColor="text1"/>
          <w:sz w:val="22"/>
          <w:szCs w:val="22"/>
          <w:lang w:val="id-ID"/>
        </w:rPr>
        <w:t>1</w:t>
      </w:r>
      <w:r w:rsidRPr="00157E18">
        <w:rPr>
          <w:rFonts w:ascii="Cambria" w:hAnsi="Cambria" w:cstheme="minorHAnsi"/>
          <w:b/>
          <w:bCs/>
          <w:i w:val="0"/>
          <w:iCs w:val="0"/>
          <w:color w:val="000000" w:themeColor="text1"/>
          <w:sz w:val="22"/>
          <w:szCs w:val="22"/>
          <w:lang w:val="id-ID"/>
        </w:rPr>
        <w:fldChar w:fldCharType="end"/>
      </w:r>
      <w:r w:rsidRPr="00157E18">
        <w:rPr>
          <w:rFonts w:ascii="Cambria" w:hAnsi="Cambria" w:cstheme="minorHAnsi"/>
          <w:b/>
          <w:bCs/>
          <w:i w:val="0"/>
          <w:iCs w:val="0"/>
          <w:color w:val="000000" w:themeColor="text1"/>
          <w:sz w:val="22"/>
          <w:szCs w:val="22"/>
          <w:lang w:val="id-ID"/>
        </w:rPr>
        <w:t xml:space="preserve">. </w:t>
      </w:r>
      <w:r w:rsidRPr="00157E18">
        <w:rPr>
          <w:rFonts w:ascii="Cambria" w:hAnsi="Cambria" w:cstheme="minorHAnsi"/>
          <w:i w:val="0"/>
          <w:iCs w:val="0"/>
          <w:color w:val="000000" w:themeColor="text1"/>
          <w:sz w:val="22"/>
          <w:szCs w:val="22"/>
          <w:lang w:val="id-ID"/>
        </w:rPr>
        <w:t xml:space="preserve">Hasil Pengkondisian Tikus DM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0"/>
        <w:gridCol w:w="1551"/>
      </w:tblGrid>
      <w:tr w:rsidR="00AE2391" w:rsidRPr="00157E18" w14:paraId="0ABB7D1C" w14:textId="77777777" w:rsidTr="00A933DB">
        <w:tc>
          <w:tcPr>
            <w:tcW w:w="3005" w:type="dxa"/>
            <w:tcBorders>
              <w:top w:val="single" w:sz="4" w:space="0" w:color="auto"/>
              <w:bottom w:val="single" w:sz="4" w:space="0" w:color="auto"/>
            </w:tcBorders>
          </w:tcPr>
          <w:p w14:paraId="4D05E6B9"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Kelompok</w:t>
            </w:r>
          </w:p>
        </w:tc>
        <w:tc>
          <w:tcPr>
            <w:tcW w:w="1390" w:type="dxa"/>
            <w:tcBorders>
              <w:top w:val="single" w:sz="4" w:space="0" w:color="auto"/>
              <w:bottom w:val="single" w:sz="4" w:space="0" w:color="auto"/>
            </w:tcBorders>
          </w:tcPr>
          <w:p w14:paraId="767123F7"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n</w:t>
            </w:r>
          </w:p>
        </w:tc>
        <w:tc>
          <w:tcPr>
            <w:tcW w:w="3006" w:type="dxa"/>
            <w:tcBorders>
              <w:top w:val="single" w:sz="4" w:space="0" w:color="auto"/>
              <w:bottom w:val="single" w:sz="4" w:space="0" w:color="auto"/>
            </w:tcBorders>
          </w:tcPr>
          <w:p w14:paraId="6D7DB5FC"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GDP Rerata ± SD (mg/dl)</w:t>
            </w:r>
          </w:p>
        </w:tc>
      </w:tr>
      <w:tr w:rsidR="00AE2391" w:rsidRPr="00157E18" w14:paraId="2D0B7004" w14:textId="77777777" w:rsidTr="00A933DB">
        <w:tc>
          <w:tcPr>
            <w:tcW w:w="3005" w:type="dxa"/>
            <w:tcBorders>
              <w:top w:val="single" w:sz="4" w:space="0" w:color="auto"/>
            </w:tcBorders>
          </w:tcPr>
          <w:p w14:paraId="55BB58B0" w14:textId="77777777" w:rsidR="00AE2391" w:rsidRPr="00157E18" w:rsidRDefault="00AE2391" w:rsidP="00A933DB">
            <w:pPr>
              <w:pStyle w:val="Default"/>
              <w:jc w:val="both"/>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 xml:space="preserve">Kontrol negatif (K-) </w:t>
            </w:r>
          </w:p>
        </w:tc>
        <w:tc>
          <w:tcPr>
            <w:tcW w:w="1390" w:type="dxa"/>
            <w:tcBorders>
              <w:top w:val="single" w:sz="4" w:space="0" w:color="auto"/>
            </w:tcBorders>
          </w:tcPr>
          <w:p w14:paraId="0F4636A6"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6</w:t>
            </w:r>
          </w:p>
        </w:tc>
        <w:tc>
          <w:tcPr>
            <w:tcW w:w="3006" w:type="dxa"/>
            <w:tcBorders>
              <w:top w:val="single" w:sz="4" w:space="0" w:color="auto"/>
            </w:tcBorders>
          </w:tcPr>
          <w:p w14:paraId="13AB4890"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67,97 ± 1,83</w:t>
            </w:r>
            <w:r w:rsidRPr="00157E18">
              <w:rPr>
                <w:rFonts w:ascii="Cambria" w:hAnsi="Cambria" w:cstheme="minorHAnsi"/>
                <w:color w:val="000000" w:themeColor="text1"/>
                <w:sz w:val="22"/>
                <w:szCs w:val="22"/>
                <w:vertAlign w:val="superscript"/>
                <w:lang w:val="id-ID"/>
              </w:rPr>
              <w:t>a</w:t>
            </w:r>
          </w:p>
        </w:tc>
      </w:tr>
      <w:tr w:rsidR="00AE2391" w:rsidRPr="00157E18" w14:paraId="62C75EB8" w14:textId="77777777" w:rsidTr="00A933DB">
        <w:tc>
          <w:tcPr>
            <w:tcW w:w="3005" w:type="dxa"/>
          </w:tcPr>
          <w:p w14:paraId="2AD509AB" w14:textId="77777777" w:rsidR="00AE2391" w:rsidRPr="00157E18" w:rsidRDefault="00AE2391" w:rsidP="00A933DB">
            <w:pPr>
              <w:pStyle w:val="Default"/>
              <w:jc w:val="both"/>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 xml:space="preserve">Kontrol positif (K+) </w:t>
            </w:r>
          </w:p>
        </w:tc>
        <w:tc>
          <w:tcPr>
            <w:tcW w:w="1390" w:type="dxa"/>
          </w:tcPr>
          <w:p w14:paraId="49E0B226"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6</w:t>
            </w:r>
          </w:p>
        </w:tc>
        <w:tc>
          <w:tcPr>
            <w:tcW w:w="3006" w:type="dxa"/>
          </w:tcPr>
          <w:p w14:paraId="4C1F2B27"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267,06 ± 3,31*</w:t>
            </w:r>
            <w:r w:rsidRPr="00157E18">
              <w:rPr>
                <w:rFonts w:ascii="Cambria" w:hAnsi="Cambria" w:cstheme="minorHAnsi"/>
                <w:color w:val="000000" w:themeColor="text1"/>
                <w:sz w:val="22"/>
                <w:szCs w:val="22"/>
                <w:vertAlign w:val="superscript"/>
                <w:lang w:val="id-ID"/>
              </w:rPr>
              <w:t>b</w:t>
            </w:r>
          </w:p>
        </w:tc>
      </w:tr>
      <w:tr w:rsidR="00AE2391" w:rsidRPr="00157E18" w14:paraId="04DF33DC" w14:textId="77777777" w:rsidTr="00A933DB">
        <w:tc>
          <w:tcPr>
            <w:tcW w:w="3005" w:type="dxa"/>
          </w:tcPr>
          <w:p w14:paraId="158993BC" w14:textId="77777777" w:rsidR="00AE2391" w:rsidRPr="00157E18" w:rsidRDefault="00AE2391" w:rsidP="00A933DB">
            <w:pPr>
              <w:pStyle w:val="Default"/>
              <w:jc w:val="both"/>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 xml:space="preserve">Perlakuan (P) </w:t>
            </w:r>
          </w:p>
        </w:tc>
        <w:tc>
          <w:tcPr>
            <w:tcW w:w="1390" w:type="dxa"/>
          </w:tcPr>
          <w:p w14:paraId="59F5536F"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6</w:t>
            </w:r>
          </w:p>
        </w:tc>
        <w:tc>
          <w:tcPr>
            <w:tcW w:w="3006" w:type="dxa"/>
          </w:tcPr>
          <w:p w14:paraId="338EB5BF" w14:textId="77777777" w:rsidR="00AE2391" w:rsidRPr="00157E18" w:rsidRDefault="00AE2391" w:rsidP="00A933DB">
            <w:pPr>
              <w:pStyle w:val="Default"/>
              <w:jc w:val="center"/>
              <w:rPr>
                <w:rFonts w:ascii="Cambria" w:hAnsi="Cambria" w:cstheme="minorHAnsi"/>
                <w:color w:val="000000" w:themeColor="text1"/>
                <w:sz w:val="22"/>
                <w:szCs w:val="22"/>
                <w:lang w:val="id-ID"/>
              </w:rPr>
            </w:pPr>
            <w:r w:rsidRPr="00157E18">
              <w:rPr>
                <w:rFonts w:ascii="Cambria" w:hAnsi="Cambria" w:cstheme="minorHAnsi"/>
                <w:color w:val="000000" w:themeColor="text1"/>
                <w:sz w:val="22"/>
                <w:szCs w:val="22"/>
                <w:lang w:val="id-ID"/>
              </w:rPr>
              <w:t>267,06 ± 3,26*</w:t>
            </w:r>
            <w:r w:rsidRPr="00157E18">
              <w:rPr>
                <w:rFonts w:ascii="Cambria" w:hAnsi="Cambria" w:cstheme="minorHAnsi"/>
                <w:color w:val="000000" w:themeColor="text1"/>
                <w:sz w:val="22"/>
                <w:szCs w:val="22"/>
                <w:vertAlign w:val="superscript"/>
                <w:lang w:val="id-ID"/>
              </w:rPr>
              <w:t>b</w:t>
            </w:r>
          </w:p>
        </w:tc>
      </w:tr>
      <w:tr w:rsidR="00AE2391" w:rsidRPr="00157E18" w14:paraId="0BD8C2B1" w14:textId="77777777" w:rsidTr="00A933DB">
        <w:tc>
          <w:tcPr>
            <w:tcW w:w="3005" w:type="dxa"/>
            <w:tcBorders>
              <w:bottom w:val="single" w:sz="4" w:space="0" w:color="auto"/>
            </w:tcBorders>
          </w:tcPr>
          <w:p w14:paraId="01D53FBD" w14:textId="77777777" w:rsidR="00AE2391" w:rsidRPr="00157E18" w:rsidRDefault="00AE2391" w:rsidP="00A933DB">
            <w:pPr>
              <w:pStyle w:val="Default"/>
              <w:jc w:val="both"/>
              <w:rPr>
                <w:rFonts w:ascii="Cambria" w:hAnsi="Cambria" w:cstheme="minorHAnsi"/>
                <w:i/>
                <w:iCs/>
                <w:color w:val="000000" w:themeColor="text1"/>
                <w:sz w:val="22"/>
                <w:szCs w:val="22"/>
                <w:lang w:val="id-ID"/>
              </w:rPr>
            </w:pPr>
            <w:r w:rsidRPr="00157E18">
              <w:rPr>
                <w:rFonts w:ascii="Cambria" w:hAnsi="Cambria" w:cstheme="minorHAnsi"/>
                <w:i/>
                <w:iCs/>
                <w:color w:val="000000" w:themeColor="text1"/>
                <w:sz w:val="22"/>
                <w:szCs w:val="22"/>
                <w:lang w:val="id-ID"/>
              </w:rPr>
              <w:t>p</w:t>
            </w:r>
          </w:p>
        </w:tc>
        <w:tc>
          <w:tcPr>
            <w:tcW w:w="1390" w:type="dxa"/>
            <w:tcBorders>
              <w:bottom w:val="single" w:sz="4" w:space="0" w:color="auto"/>
            </w:tcBorders>
          </w:tcPr>
          <w:p w14:paraId="6CFAEDB4" w14:textId="77777777" w:rsidR="00AE2391" w:rsidRPr="00157E18" w:rsidRDefault="00AE2391" w:rsidP="00A933DB">
            <w:pPr>
              <w:pStyle w:val="Default"/>
              <w:jc w:val="center"/>
              <w:rPr>
                <w:rFonts w:ascii="Cambria" w:hAnsi="Cambria" w:cstheme="minorHAnsi"/>
                <w:color w:val="000000" w:themeColor="text1"/>
                <w:sz w:val="22"/>
                <w:szCs w:val="22"/>
                <w:lang w:val="id-ID"/>
              </w:rPr>
            </w:pPr>
          </w:p>
        </w:tc>
        <w:tc>
          <w:tcPr>
            <w:tcW w:w="3006" w:type="dxa"/>
            <w:tcBorders>
              <w:bottom w:val="single" w:sz="4" w:space="0" w:color="auto"/>
            </w:tcBorders>
          </w:tcPr>
          <w:p w14:paraId="717E0D7F" w14:textId="77777777" w:rsidR="00AE2391" w:rsidRPr="00157E18" w:rsidRDefault="00AE2391" w:rsidP="00A933DB">
            <w:pPr>
              <w:pStyle w:val="Default"/>
              <w:jc w:val="center"/>
              <w:rPr>
                <w:rFonts w:ascii="Cambria" w:hAnsi="Cambria" w:cstheme="minorHAnsi"/>
                <w:color w:val="000000" w:themeColor="text1"/>
                <w:sz w:val="22"/>
                <w:szCs w:val="22"/>
                <w:vertAlign w:val="superscript"/>
                <w:lang w:val="id-ID"/>
              </w:rPr>
            </w:pPr>
            <w:r w:rsidRPr="00157E18">
              <w:rPr>
                <w:rFonts w:ascii="Cambria" w:hAnsi="Cambria" w:cstheme="minorHAnsi"/>
                <w:color w:val="000000" w:themeColor="text1"/>
                <w:sz w:val="22"/>
                <w:szCs w:val="22"/>
                <w:lang w:val="id-ID"/>
              </w:rPr>
              <w:t>0,001</w:t>
            </w:r>
            <w:r w:rsidRPr="00157E18">
              <w:rPr>
                <w:rFonts w:ascii="Cambria" w:hAnsi="Cambria" w:cstheme="minorHAnsi"/>
                <w:color w:val="000000" w:themeColor="text1"/>
                <w:sz w:val="22"/>
                <w:szCs w:val="22"/>
                <w:vertAlign w:val="superscript"/>
                <w:lang w:val="id-ID"/>
              </w:rPr>
              <w:t>1**</w:t>
            </w:r>
          </w:p>
        </w:tc>
      </w:tr>
    </w:tbl>
    <w:p w14:paraId="15B1B607" w14:textId="77777777" w:rsidR="00AE2391" w:rsidRPr="00157E18" w:rsidRDefault="00AE2391" w:rsidP="00AE2391">
      <w:pPr>
        <w:pStyle w:val="Default"/>
        <w:jc w:val="both"/>
        <w:rPr>
          <w:rFonts w:ascii="Cambria" w:hAnsi="Cambria" w:cstheme="minorHAnsi"/>
          <w:b/>
          <w:bCs/>
          <w:sz w:val="28"/>
          <w:szCs w:val="28"/>
          <w:lang w:val="en-US"/>
        </w:rPr>
      </w:pPr>
      <w:r w:rsidRPr="00157E18">
        <w:rPr>
          <w:rFonts w:ascii="Cambria" w:hAnsi="Cambria" w:cstheme="minorHAnsi"/>
          <w:color w:val="000000" w:themeColor="text1"/>
          <w:sz w:val="22"/>
          <w:szCs w:val="22"/>
          <w:lang w:val="id-ID"/>
        </w:rPr>
        <w:t xml:space="preserve">*Memenuhi kriteria diabetes melitus, </w:t>
      </w:r>
      <w:r w:rsidRPr="00157E18">
        <w:rPr>
          <w:rFonts w:ascii="Cambria" w:hAnsi="Cambria" w:cstheme="minorHAnsi"/>
          <w:color w:val="000000" w:themeColor="text1"/>
          <w:sz w:val="22"/>
          <w:szCs w:val="22"/>
          <w:vertAlign w:val="superscript"/>
          <w:lang w:val="id-ID"/>
        </w:rPr>
        <w:t>1</w:t>
      </w:r>
      <w:r w:rsidRPr="00157E18">
        <w:rPr>
          <w:rFonts w:ascii="Cambria" w:hAnsi="Cambria" w:cstheme="minorHAnsi"/>
          <w:color w:val="000000" w:themeColor="text1"/>
          <w:sz w:val="22"/>
          <w:szCs w:val="22"/>
          <w:lang w:val="id-ID"/>
        </w:rPr>
        <w:t xml:space="preserve">Uji </w:t>
      </w:r>
      <w:r w:rsidRPr="00157E18">
        <w:rPr>
          <w:rFonts w:ascii="Cambria" w:hAnsi="Cambria" w:cstheme="minorHAnsi"/>
          <w:i/>
          <w:iCs/>
          <w:color w:val="000000" w:themeColor="text1"/>
          <w:sz w:val="22"/>
          <w:szCs w:val="22"/>
          <w:lang w:val="id-ID"/>
        </w:rPr>
        <w:t>One Way Anova</w:t>
      </w:r>
      <w:r w:rsidRPr="00157E18">
        <w:rPr>
          <w:rFonts w:ascii="Cambria" w:hAnsi="Cambria" w:cstheme="minorHAnsi"/>
          <w:color w:val="000000" w:themeColor="text1"/>
          <w:sz w:val="22"/>
          <w:szCs w:val="22"/>
          <w:lang w:val="id-ID"/>
        </w:rPr>
        <w:t xml:space="preserve">, </w:t>
      </w:r>
      <w:r w:rsidRPr="00157E18">
        <w:rPr>
          <w:rFonts w:ascii="Cambria" w:hAnsi="Cambria" w:cstheme="minorHAnsi"/>
          <w:color w:val="000000" w:themeColor="text1"/>
          <w:sz w:val="22"/>
          <w:szCs w:val="22"/>
          <w:vertAlign w:val="superscript"/>
          <w:lang w:val="id-ID"/>
        </w:rPr>
        <w:t>a,b</w:t>
      </w:r>
      <w:r w:rsidRPr="00157E18">
        <w:rPr>
          <w:rFonts w:ascii="Cambria" w:hAnsi="Cambria" w:cstheme="minorHAnsi"/>
          <w:color w:val="000000" w:themeColor="text1"/>
          <w:sz w:val="22"/>
          <w:szCs w:val="22"/>
          <w:lang w:val="id-ID"/>
        </w:rPr>
        <w:t xml:space="preserve">Notasi berbeda pada kolom yang sama menunjukkan adanya perbedaan yang signifikan pada uji </w:t>
      </w:r>
      <w:r w:rsidRPr="00157E18">
        <w:rPr>
          <w:rFonts w:ascii="Cambria" w:hAnsi="Cambria" w:cstheme="minorHAnsi"/>
          <w:i/>
          <w:iCs/>
          <w:color w:val="000000" w:themeColor="text1"/>
          <w:sz w:val="22"/>
          <w:szCs w:val="22"/>
          <w:lang w:val="id-ID"/>
        </w:rPr>
        <w:t>Duncan</w:t>
      </w:r>
      <w:r w:rsidRPr="00157E18">
        <w:rPr>
          <w:rFonts w:ascii="Cambria" w:hAnsi="Cambria" w:cstheme="minorHAnsi"/>
          <w:color w:val="000000" w:themeColor="text1"/>
          <w:sz w:val="22"/>
          <w:szCs w:val="22"/>
          <w:lang w:val="id-ID"/>
        </w:rPr>
        <w:t>, **Signifikan (</w:t>
      </w:r>
      <w:r w:rsidRPr="00157E18">
        <w:rPr>
          <w:rFonts w:ascii="Cambria" w:hAnsi="Cambria" w:cstheme="minorHAnsi"/>
          <w:i/>
          <w:iCs/>
          <w:color w:val="000000" w:themeColor="text1"/>
          <w:sz w:val="22"/>
          <w:szCs w:val="22"/>
          <w:lang w:val="id-ID"/>
        </w:rPr>
        <w:t>p</w:t>
      </w:r>
      <w:r w:rsidRPr="00157E18">
        <w:rPr>
          <w:rFonts w:ascii="Cambria" w:hAnsi="Cambria" w:cstheme="minorHAnsi"/>
          <w:color w:val="000000" w:themeColor="text1"/>
          <w:sz w:val="22"/>
          <w:szCs w:val="22"/>
          <w:lang w:val="id-ID"/>
        </w:rPr>
        <w:t>&lt;0,05)</w:t>
      </w:r>
    </w:p>
    <w:p w14:paraId="5DA0E715" w14:textId="77777777" w:rsidR="00AE2391" w:rsidRDefault="00AE2391" w:rsidP="00AE2391">
      <w:pPr>
        <w:pStyle w:val="Default"/>
        <w:ind w:firstLine="720"/>
        <w:jc w:val="both"/>
        <w:rPr>
          <w:rFonts w:ascii="Cambria" w:hAnsi="Cambria" w:cstheme="minorHAnsi"/>
          <w:sz w:val="22"/>
          <w:szCs w:val="22"/>
          <w:lang w:val="id-ID"/>
        </w:rPr>
      </w:pPr>
    </w:p>
    <w:p w14:paraId="00CE07D8" w14:textId="77777777" w:rsidR="00AE2391" w:rsidRPr="00295A79" w:rsidRDefault="00AE2391" w:rsidP="00AE2391">
      <w:pPr>
        <w:pStyle w:val="Default"/>
        <w:ind w:firstLine="720"/>
        <w:jc w:val="both"/>
        <w:rPr>
          <w:rFonts w:ascii="Cambria" w:hAnsi="Cambria" w:cstheme="minorHAnsi"/>
          <w:b/>
          <w:bCs/>
          <w:color w:val="auto"/>
          <w:sz w:val="22"/>
          <w:szCs w:val="22"/>
          <w:lang w:val="id-ID"/>
        </w:rPr>
      </w:pPr>
      <w:r w:rsidRPr="00295A79">
        <w:rPr>
          <w:rFonts w:ascii="Cambria" w:hAnsi="Cambria" w:cstheme="minorHAnsi"/>
          <w:sz w:val="22"/>
          <w:szCs w:val="22"/>
          <w:lang w:val="id-ID"/>
        </w:rPr>
        <w:t xml:space="preserve">Hasil penelitian ini sejalan dengan penelitian mengenai pengaruh </w:t>
      </w:r>
      <w:r w:rsidRPr="00295A79">
        <w:rPr>
          <w:rFonts w:ascii="Cambria" w:hAnsi="Cambria" w:cstheme="minorHAnsi"/>
          <w:i/>
          <w:iCs/>
          <w:sz w:val="22"/>
          <w:szCs w:val="22"/>
          <w:lang w:val="id-ID"/>
        </w:rPr>
        <w:t xml:space="preserve">Biophytum sensitivum </w:t>
      </w:r>
      <w:r w:rsidRPr="00295A79">
        <w:rPr>
          <w:rFonts w:ascii="Cambria" w:hAnsi="Cambria" w:cstheme="minorHAnsi"/>
          <w:sz w:val="22"/>
          <w:szCs w:val="22"/>
          <w:lang w:val="id-ID"/>
        </w:rPr>
        <w:t>pada tikus diabetes yang di induksi STZ-NA. P</w:t>
      </w:r>
      <w:r w:rsidRPr="00295A79">
        <w:rPr>
          <w:rFonts w:ascii="Cambria" w:hAnsi="Cambria" w:cstheme="minorHAnsi"/>
          <w:color w:val="auto"/>
          <w:sz w:val="22"/>
          <w:szCs w:val="22"/>
          <w:lang w:val="id-ID"/>
        </w:rPr>
        <w:t>enelitian ini juga sejalan dengan penelitian mengenai peran antioksidan coumarin pada tikus diabetes yang diinduksi STZ-NA. Kedua penelitian ini menunjukkan bahwa injeksi STZ sebanyak 45 mg/kg BB tikus dan NA sebanyak 110 mg/kg BB tikus dapat meningkatkan kadar GDP tikus mencapai &gt;250 mg/dl.</w:t>
      </w:r>
      <w:r w:rsidRPr="00295A79">
        <w:rPr>
          <w:rFonts w:ascii="Cambria" w:hAnsi="Cambria" w:cstheme="minorHAnsi"/>
          <w:color w:val="auto"/>
          <w:sz w:val="22"/>
          <w:szCs w:val="22"/>
          <w:lang w:val="id-ID"/>
        </w:rPr>
        <w:fldChar w:fldCharType="begin" w:fldLock="1"/>
      </w:r>
      <w:r>
        <w:rPr>
          <w:rFonts w:ascii="Cambria" w:hAnsi="Cambria" w:cstheme="minorHAnsi"/>
          <w:color w:val="auto"/>
          <w:sz w:val="22"/>
          <w:szCs w:val="22"/>
          <w:lang w:val="id-ID"/>
        </w:rPr>
        <w:instrText>ADDIN CSL_CITATION { "citationItems" : [ { "id" : "ITEM-1", "itemData" : { "DOI" : "10.1016/j.biopha.2010.02.001", "ISSN" : "07533322", "author" : [ { "dropping-particle" : "", "family" : "Pari", "given" : "Leelavinothan", "non-dropping-particle" : "", "parse-names" : false, "suffix" : "" }, { "dropping-particle" : "", "family" : "Srinivasan", "given" : "Subramani", "non-dropping-particle" : "", "parse-names" : false, "suffix" : "" } ], "container-title" : "Biomedicine &amp; Pharmacotherapy", "id" : "ITEM-1", "issue" : "7", "issued" : { "date-parts" : [ [ "2010", "9" ] ] }, "page" : "477-481", "title" : "Antihyperglycemic effect of diosmin on hepatic key enzymes of carbohydrate metabolism in streptozotocin-nicotinamide-induced diabetic rats", "type" : "article-journal", "volume" : "64" }, "uris" : [ "http://www.mendeley.com/documents/?uuid=8941c27f-5fae-436b-8898-5f95d64c32e5" ] }, { "id" : "ITEM-2", "itemData" : { "DOI" : "10.1002/jbt.20395", "ISSN" : "10956670", "author" : [ { "dropping-particle" : "", "family" : "Rajarajeswari", "given" : "Narayanasamy", "non-dropping-particle" : "", "parse-names" : false, "suffix" : "" }, { "dropping-particle" : "", "family" : "Pari", "given" : "Leelavinothan", "non-dropping-particle" : "", "parse-names" : false, "suffix" : "" } ], "container-title" : "Journal of Biochemical and Molecular Toxicology", "id" : "ITEM-2", "issue" : "6", "issued" : { "date-parts" : [ [ "2011", "11" ] ] }, "page" : "355-361", "title" : "Antioxidant role of coumarin on streptozotocin-nicotinamide-induced type 2 diabetic rats", "type" : "article-journal", "volume" : "25" }, "uris" : [ "http://www.mendeley.com/documents/?uuid=2d71fd41-bcdf-4ec5-9f4b-9a000562de67" ] } ], "mendeley" : { "formattedCitation" : "(Pari &amp; Srinivasan, 2010; Rajarajeswari &amp; Pari, 2011)", "plainTextFormattedCitation" : "(Pari &amp; Srinivasan, 2010; Rajarajeswari &amp; Pari, 2011)", "previouslyFormattedCitation" : "(Pari &amp; Srinivasan, 2010; Rajarajeswari &amp; Pari, 2011)" }, "properties" : { "noteIndex" : 0 }, "schema" : "https://github.com/citation-style-language/schema/raw/master/csl-citation.json" }</w:instrText>
      </w:r>
      <w:r w:rsidRPr="00295A79">
        <w:rPr>
          <w:rFonts w:ascii="Cambria" w:hAnsi="Cambria" w:cstheme="minorHAnsi"/>
          <w:color w:val="auto"/>
          <w:sz w:val="22"/>
          <w:szCs w:val="22"/>
          <w:lang w:val="id-ID"/>
        </w:rPr>
        <w:fldChar w:fldCharType="separate"/>
      </w:r>
      <w:r w:rsidRPr="00295A79">
        <w:rPr>
          <w:rFonts w:ascii="Cambria" w:hAnsi="Cambria" w:cstheme="minorHAnsi"/>
          <w:noProof/>
          <w:color w:val="auto"/>
          <w:sz w:val="22"/>
          <w:szCs w:val="22"/>
          <w:lang w:val="id-ID"/>
        </w:rPr>
        <w:t>(Pari &amp; Srinivasan, 2010; Rajarajeswari &amp; Pari, 2011)</w:t>
      </w:r>
      <w:r w:rsidRPr="00295A79">
        <w:rPr>
          <w:rFonts w:ascii="Cambria" w:hAnsi="Cambria" w:cstheme="minorHAnsi"/>
          <w:color w:val="auto"/>
          <w:sz w:val="22"/>
          <w:szCs w:val="22"/>
          <w:lang w:val="id-ID"/>
        </w:rPr>
        <w:fldChar w:fldCharType="end"/>
      </w:r>
    </w:p>
    <w:p w14:paraId="7B0F9C91" w14:textId="77777777" w:rsidR="00AE2391" w:rsidRPr="00295A79" w:rsidRDefault="00AE2391" w:rsidP="00AE2391">
      <w:pPr>
        <w:pStyle w:val="Default"/>
        <w:jc w:val="both"/>
        <w:rPr>
          <w:rFonts w:ascii="Cambria" w:hAnsi="Cambria" w:cstheme="minorHAnsi"/>
          <w:b/>
          <w:bCs/>
          <w:color w:val="000000" w:themeColor="text1"/>
          <w:sz w:val="22"/>
          <w:szCs w:val="22"/>
          <w:lang w:val="id-ID"/>
        </w:rPr>
      </w:pPr>
    </w:p>
    <w:p w14:paraId="20F6623C" w14:textId="77777777" w:rsidR="00AE2391" w:rsidRPr="00295A79" w:rsidRDefault="00AE2391" w:rsidP="00AE2391">
      <w:pPr>
        <w:pStyle w:val="Default"/>
        <w:jc w:val="both"/>
        <w:rPr>
          <w:rFonts w:ascii="Cambria" w:hAnsi="Cambria" w:cstheme="minorHAnsi"/>
          <w:b/>
          <w:bCs/>
          <w:color w:val="000000" w:themeColor="text1"/>
          <w:sz w:val="22"/>
          <w:szCs w:val="22"/>
          <w:lang w:val="id-ID"/>
        </w:rPr>
      </w:pPr>
      <w:r w:rsidRPr="00295A79">
        <w:rPr>
          <w:rFonts w:ascii="Cambria" w:hAnsi="Cambria" w:cstheme="minorHAnsi"/>
          <w:b/>
          <w:bCs/>
          <w:color w:val="000000" w:themeColor="text1"/>
          <w:sz w:val="22"/>
          <w:szCs w:val="22"/>
          <w:lang w:val="id-ID"/>
        </w:rPr>
        <w:t>Berat Badan Subjek Selama Penelitian</w:t>
      </w:r>
    </w:p>
    <w:p w14:paraId="27236B0B" w14:textId="77777777" w:rsidR="00AE2391" w:rsidRDefault="00AE2391" w:rsidP="00AE2391">
      <w:pPr>
        <w:autoSpaceDE w:val="0"/>
        <w:autoSpaceDN w:val="0"/>
        <w:adjustRightInd w:val="0"/>
        <w:spacing w:after="0" w:line="240" w:lineRule="auto"/>
        <w:ind w:firstLine="720"/>
        <w:jc w:val="both"/>
        <w:rPr>
          <w:rFonts w:ascii="Cambria" w:hAnsi="Cambria" w:cstheme="minorHAnsi"/>
          <w:color w:val="000000"/>
          <w:lang w:val="id-ID"/>
        </w:rPr>
      </w:pPr>
      <w:r w:rsidRPr="00295A79">
        <w:rPr>
          <w:rFonts w:ascii="Cambria" w:hAnsi="Cambria" w:cstheme="minorHAnsi"/>
          <w:color w:val="000000"/>
          <w:lang w:val="id-ID"/>
        </w:rPr>
        <w:t xml:space="preserve">Pada kelompok (K+) terdapat peningkatan rerata berat badan yang signifikan selama aklimatisasi hingga pengkondisian DM tetapi terdapat penurunan yang signifikan selama masa pengkondisian DM hingga intervensi (Tabel 2). Berdasarkan hasil uji </w:t>
      </w:r>
      <w:r w:rsidRPr="00295A79">
        <w:rPr>
          <w:rFonts w:ascii="Cambria" w:hAnsi="Cambria" w:cstheme="minorHAnsi"/>
          <w:i/>
          <w:iCs/>
          <w:color w:val="000000"/>
          <w:lang w:val="id-ID"/>
        </w:rPr>
        <w:t xml:space="preserve">One Way Anova </w:t>
      </w:r>
      <w:r w:rsidRPr="00295A79">
        <w:rPr>
          <w:rFonts w:ascii="Cambria" w:hAnsi="Cambria" w:cstheme="minorHAnsi"/>
          <w:color w:val="000000"/>
          <w:lang w:val="id-ID"/>
        </w:rPr>
        <w:t>tidak terdapat perbedaan signifikan rerata berat badan antar kelompok pada masa aklimatisasi (</w:t>
      </w:r>
      <w:r w:rsidRPr="00295A79">
        <w:rPr>
          <w:rFonts w:ascii="Cambria" w:hAnsi="Cambria" w:cstheme="minorHAnsi"/>
          <w:i/>
          <w:iCs/>
          <w:color w:val="000000"/>
          <w:lang w:val="id-ID"/>
        </w:rPr>
        <w:t>p</w:t>
      </w:r>
      <w:r w:rsidRPr="00295A79">
        <w:rPr>
          <w:rFonts w:ascii="Cambria" w:hAnsi="Cambria" w:cstheme="minorHAnsi"/>
          <w:color w:val="000000"/>
          <w:lang w:val="id-ID"/>
        </w:rPr>
        <w:t>=0.772) dan pengkondisian DM (</w:t>
      </w:r>
      <w:r w:rsidRPr="00295A79">
        <w:rPr>
          <w:rFonts w:ascii="Cambria" w:hAnsi="Cambria" w:cstheme="minorHAnsi"/>
          <w:i/>
          <w:iCs/>
          <w:color w:val="000000"/>
          <w:lang w:val="id-ID"/>
        </w:rPr>
        <w:t>p=</w:t>
      </w:r>
      <w:r w:rsidRPr="00295A79">
        <w:rPr>
          <w:rFonts w:ascii="Cambria" w:hAnsi="Cambria" w:cstheme="minorHAnsi"/>
          <w:color w:val="000000"/>
          <w:lang w:val="id-ID"/>
        </w:rPr>
        <w:t>0,793) tetapi terdapat perbedaan signifikan selama masa intervensi (</w:t>
      </w:r>
      <w:r w:rsidRPr="00295A79">
        <w:rPr>
          <w:rFonts w:ascii="Cambria" w:hAnsi="Cambria" w:cstheme="minorHAnsi"/>
          <w:i/>
          <w:iCs/>
          <w:color w:val="000000"/>
          <w:lang w:val="id-ID"/>
        </w:rPr>
        <w:t>p</w:t>
      </w:r>
      <w:r w:rsidRPr="00295A79">
        <w:rPr>
          <w:rFonts w:ascii="Cambria" w:hAnsi="Cambria" w:cstheme="minorHAnsi"/>
          <w:color w:val="000000"/>
          <w:lang w:val="id-ID"/>
        </w:rPr>
        <w:t xml:space="preserve">&lt;0,05). Berdasarkan uji </w:t>
      </w:r>
      <w:r w:rsidRPr="00295A79">
        <w:rPr>
          <w:rFonts w:ascii="Cambria" w:hAnsi="Cambria" w:cstheme="minorHAnsi"/>
          <w:i/>
          <w:iCs/>
          <w:color w:val="000000"/>
          <w:lang w:val="id-ID"/>
        </w:rPr>
        <w:t>Post Hoc Duncan</w:t>
      </w:r>
      <w:r w:rsidRPr="00295A79">
        <w:rPr>
          <w:rFonts w:ascii="Cambria" w:hAnsi="Cambria" w:cstheme="minorHAnsi"/>
          <w:color w:val="000000"/>
          <w:lang w:val="id-ID"/>
        </w:rPr>
        <w:t xml:space="preserve">, terdapat perbedaan signifikan kadar trigliserida setelah intervensi antar semua kelompok. </w:t>
      </w:r>
    </w:p>
    <w:p w14:paraId="14CE5745" w14:textId="77777777" w:rsidR="00AE2391" w:rsidRDefault="00AE2391" w:rsidP="00AE2391">
      <w:pPr>
        <w:autoSpaceDE w:val="0"/>
        <w:autoSpaceDN w:val="0"/>
        <w:adjustRightInd w:val="0"/>
        <w:spacing w:after="0" w:line="240" w:lineRule="auto"/>
        <w:ind w:firstLine="720"/>
        <w:jc w:val="both"/>
        <w:rPr>
          <w:rFonts w:ascii="Cambria" w:hAnsi="Cambria" w:cstheme="minorHAnsi"/>
        </w:rPr>
      </w:pPr>
      <w:r w:rsidRPr="00295A79">
        <w:rPr>
          <w:rFonts w:ascii="Cambria" w:hAnsi="Cambria" w:cstheme="minorHAnsi"/>
          <w:color w:val="000000"/>
          <w:lang w:val="id-ID"/>
        </w:rPr>
        <w:t xml:space="preserve">Penurunan rerata berat badan selama intervensi pada kelompok (K+) disebabkan karena kelompok ini mengalami resistensi insulin serta tidak mendapatkan terapi gizi. Resistensi insulin menyebabkan tubuh tidak mampu </w:t>
      </w:r>
      <w:r w:rsidRPr="00295A79">
        <w:rPr>
          <w:rFonts w:ascii="Cambria" w:hAnsi="Cambria" w:cstheme="minorHAnsi"/>
          <w:lang w:val="id-ID"/>
        </w:rPr>
        <w:t>menyerap glukosa dalam darah secara optimal dan mengganggu proses glikolisis akibatnya memicu terjadinya proses glikogenolisis</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"Savych", "given" : "Alona", "non-dropping-particle" : "", "parse-names" : false, "suffix" : "" }, { "dropping-particle" : "", "family" : "Marchyshyn.", "given" : "Svitlana", "non-dropping-particle" : "", "parse-names" : false, "suffix" : "" } ], "container-title" : "The Pharma Innovation Journal", "id" : "ITEM-1", "issue" : "3", "issued" : { "date-parts" : [ [ "2017" ] ] }, "page" : "175-177", "title" : "Investigation of pharmacological activity the new antidiabetic plant gathering in streptozotocin-nicotinamide-induced diabetes in the rats", "type" : "article-journal", "volume" : "6" }, "uris" : [ "http://www.mendeley.com/documents/?uuid=87b587c6-6b98-4517-becf-b4429736b1b5" ] } ], "mendeley" : { "formattedCitation" : "(Savych &amp; Marchyshyn., 2017)", "plainTextFormattedCitation" : "(Savych &amp; Marchyshyn., 2017)", "previouslyFormattedCitation" : "(Savych &amp; Marchyshyn., 2017)"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(Savych &amp; Marchyshyn., 2017)</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Proses glikogenolisis yang terjadi secara terus menerus dapat menyebabkan terjadinya penurunan berat badan. Tikus kelompok (P) mengalami peningkatan berat badan selama intervensi dikarenakan kelompok ini mendapatkan terapi gizi berupa pakan dengan indeks glikemik rendah, tinggi serat dan antioksidan yaitu tepung sorgum. Pakan ini mampu meningkatkan sensitivitas insulin sehingga tubuh mampu menyerap glukosa dalam darah dan menghentikan proses glikogenolisis</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"10.1093/ajcn/73.3.574", "ISSN" : "0002-9165", "author" : [ { "dropping-particle" : "", "family" : "Buyken", "given" : "Anette E", "non-dropping-particle" : "", "parse-names" : false, "suffix" : "" }, { "dropping-particle" : "", "family" : "Toeller", "given" : "Monika", "non-dropping-particle" : "", "parse-names" : false, "suffix" : "" }, { "dropping-particle" : "", "family" : "Heitkamp", "given" : "Gunhild", "non-dropping-particle" : "", "parse-names" : false, "suffix" : "" }, { "dropping-particle" : "", "family" : "Karamanos", "given" : "Basil", "non-dropping-particle" : "", "parse-names" : false, "suffix" : "" }, { "dropping-particle" : "", "family" : "Rottiers", "given" : "Raoul", "non-dropping-particle" : "", "parse-names" : false, "suffix" : "" }, { "dropping-particle" : "", "family" : "Muggeo", "given" : "Michele", "non-dropping-particle" : "", "parse-names" : false, "suffix" : "" }, { "dropping-particle" : "", "family" : "Fuller", "given" : "John H", "non-dropping-particle" : "", "parse-names" : false, "suffix" : "" } ], "container-title" : "The American Journal of Clinical Nutrition", "id" : "ITEM-1", "issue" : "3", "issued" : { "date-parts" : [ [ "2001", "3", "1" ] ] }, "page" : "574-581", "title" : "Glycemic index in the diet of European outpatients with type 1 diabetes: relations to glycated hemoglobin and serum lipids", "type" : "article-journal", "volume" : "73" }, "uris" : [ "http://www.mendeley.com/documents/?uuid=ad9ea27f-0a46-4bbe-bda2-ee750f338e74" ] } ], "mendeley" : { "formattedCitation" : "(Buyken et al., 2001)", "plainTextFormattedCitation" : "(Buyken et al., 2001)", "previouslyFormattedCitation" : "(Buyken et al., 2001)"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(Buyken et al., 2001)</w:t>
      </w:r>
      <w:r w:rsidRPr="00295A79">
        <w:rPr>
          <w:rFonts w:ascii="Cambria" w:hAnsi="Cambria" w:cstheme="minorHAnsi"/>
          <w:lang w:val="id-ID"/>
        </w:rPr>
        <w:fldChar w:fldCharType="end"/>
      </w:r>
      <w:r>
        <w:rPr>
          <w:rFonts w:ascii="Cambria" w:hAnsi="Cambria" w:cstheme="minorHAnsi"/>
        </w:rPr>
        <w:t>.</w:t>
      </w:r>
    </w:p>
    <w:p w14:paraId="4AF6B67A" w14:textId="6A4B2470" w:rsidR="00AE2391" w:rsidRDefault="00AE2391" w:rsidP="00AE2391">
      <w:pPr>
        <w:autoSpaceDE w:val="0"/>
        <w:autoSpaceDN w:val="0"/>
        <w:adjustRightInd w:val="0"/>
        <w:spacing w:after="0" w:line="240" w:lineRule="auto"/>
        <w:jc w:val="both"/>
        <w:rPr>
          <w:rFonts w:ascii="Cambria" w:hAnsi="Cambria" w:cstheme="minorHAnsi"/>
          <w:b/>
          <w:bCs/>
          <w:i/>
          <w:iCs/>
        </w:rPr>
      </w:pPr>
    </w:p>
    <w:p w14:paraId="5FC1C0F1" w14:textId="2713B8BE" w:rsidR="003E53D4" w:rsidRDefault="003E53D4" w:rsidP="00AE2391">
      <w:pPr>
        <w:autoSpaceDE w:val="0"/>
        <w:autoSpaceDN w:val="0"/>
        <w:adjustRightInd w:val="0"/>
        <w:spacing w:after="0" w:line="240" w:lineRule="auto"/>
        <w:jc w:val="both"/>
        <w:rPr>
          <w:rFonts w:ascii="Cambria" w:hAnsi="Cambria" w:cstheme="minorHAnsi"/>
          <w:b/>
          <w:bCs/>
          <w:i/>
          <w:iCs/>
        </w:rPr>
      </w:pPr>
    </w:p>
    <w:p w14:paraId="3AA306AC" w14:textId="77777777" w:rsidR="003E53D4" w:rsidRPr="00157E18" w:rsidRDefault="003E53D4" w:rsidP="00AE2391">
      <w:pPr>
        <w:autoSpaceDE w:val="0"/>
        <w:autoSpaceDN w:val="0"/>
        <w:adjustRightInd w:val="0"/>
        <w:spacing w:after="0" w:line="240" w:lineRule="auto"/>
        <w:jc w:val="both"/>
        <w:rPr>
          <w:rFonts w:ascii="Cambria" w:hAnsi="Cambria" w:cstheme="minorHAnsi"/>
          <w:b/>
          <w:bCs/>
          <w:i/>
          <w:iCs/>
        </w:rPr>
      </w:pPr>
    </w:p>
    <w:p w14:paraId="75C339F0" w14:textId="77777777" w:rsidR="00AE2391" w:rsidRPr="00295A79" w:rsidRDefault="00AE2391" w:rsidP="00AE2391">
      <w:pPr>
        <w:spacing w:after="0" w:line="240" w:lineRule="auto"/>
        <w:jc w:val="both"/>
        <w:rPr>
          <w:rFonts w:ascii="Cambria" w:hAnsi="Cambria" w:cstheme="minorHAnsi"/>
          <w:b/>
          <w:bCs/>
          <w:color w:val="000000" w:themeColor="text1"/>
          <w:lang w:val="id-ID"/>
        </w:rPr>
      </w:pPr>
      <w:r w:rsidRPr="00295A79">
        <w:rPr>
          <w:rFonts w:ascii="Cambria" w:hAnsi="Cambria" w:cstheme="minorHAnsi"/>
          <w:b/>
          <w:bCs/>
          <w:color w:val="000000" w:themeColor="text1"/>
          <w:lang w:val="id-ID"/>
        </w:rPr>
        <w:lastRenderedPageBreak/>
        <w:t>Konsumsi Pakan Tikus Selama Intervensi</w:t>
      </w:r>
    </w:p>
    <w:p w14:paraId="5D92A14D" w14:textId="77777777" w:rsidR="00AE2391" w:rsidRPr="00295A79" w:rsidRDefault="00AE2391" w:rsidP="00AE2391">
      <w:pPr>
        <w:spacing w:after="0" w:line="240" w:lineRule="auto"/>
        <w:ind w:firstLine="720"/>
        <w:jc w:val="both"/>
        <w:rPr>
          <w:rFonts w:ascii="Cambria" w:hAnsi="Cambria" w:cstheme="minorHAnsi"/>
          <w:lang w:val="id-ID"/>
        </w:rPr>
      </w:pPr>
      <w:r w:rsidRPr="00295A79">
        <w:rPr>
          <w:rFonts w:ascii="Cambria" w:hAnsi="Cambria" w:cstheme="minorHAnsi"/>
          <w:lang w:val="id-ID"/>
        </w:rPr>
        <w:t xml:space="preserve">Selama masa intervensi, terdapat perbedaan signifikan rerata konsumsi pakan antar kelompok (K-), (K+) dan (P) berdasarkan hasil uji </w:t>
      </w:r>
      <w:r w:rsidRPr="00295A79">
        <w:rPr>
          <w:rFonts w:ascii="Cambria" w:hAnsi="Cambria" w:cstheme="minorHAnsi"/>
          <w:i/>
          <w:iCs/>
          <w:lang w:val="id-ID"/>
        </w:rPr>
        <w:t xml:space="preserve">One Way Anova </w:t>
      </w:r>
      <w:r w:rsidRPr="00295A79">
        <w:rPr>
          <w:rFonts w:ascii="Cambria" w:hAnsi="Cambria" w:cstheme="minorHAnsi"/>
          <w:lang w:val="id-ID"/>
        </w:rPr>
        <w:t xml:space="preserve">dengan </w:t>
      </w:r>
      <w:r w:rsidRPr="00295A79">
        <w:rPr>
          <w:rFonts w:ascii="Cambria" w:hAnsi="Cambria" w:cstheme="minorHAnsi"/>
          <w:i/>
          <w:iCs/>
          <w:lang w:val="id-ID"/>
        </w:rPr>
        <w:t>p=</w:t>
      </w:r>
      <w:r w:rsidRPr="00295A79">
        <w:rPr>
          <w:rFonts w:ascii="Cambria" w:hAnsi="Cambria" w:cstheme="minorHAnsi"/>
          <w:lang w:val="id-ID"/>
        </w:rPr>
        <w:t xml:space="preserve">0,001 (Tabel 3). Pada uji </w:t>
      </w:r>
      <w:r w:rsidRPr="00295A79">
        <w:rPr>
          <w:rFonts w:ascii="Cambria" w:hAnsi="Cambria" w:cstheme="minorHAnsi"/>
          <w:i/>
          <w:iCs/>
          <w:lang w:val="id-ID"/>
        </w:rPr>
        <w:t xml:space="preserve">Post Hoc Duncan </w:t>
      </w:r>
      <w:r w:rsidRPr="00295A79">
        <w:rPr>
          <w:rFonts w:ascii="Cambria" w:hAnsi="Cambria" w:cstheme="minorHAnsi"/>
          <w:lang w:val="id-ID"/>
        </w:rPr>
        <w:t xml:space="preserve">diketahui bahwa perbedaan rerata pakan terdapat pada kelompok (K+) dengan kelompok (K-) maupun (P) tetapi tidak terdapat perbedaan rerata konsumsi pakan </w:t>
      </w:r>
    </w:p>
    <w:p w14:paraId="5D42DD37" w14:textId="77777777" w:rsidR="00AE2391" w:rsidRPr="009268DA" w:rsidRDefault="00AE2391" w:rsidP="00AE2391">
      <w:pPr>
        <w:spacing w:after="0" w:line="240" w:lineRule="auto"/>
        <w:jc w:val="both"/>
        <w:rPr>
          <w:rFonts w:ascii="Cambria" w:hAnsi="Cambria" w:cstheme="minorHAnsi"/>
        </w:rPr>
      </w:pPr>
      <w:r w:rsidRPr="00295A79">
        <w:rPr>
          <w:rFonts w:ascii="Cambria" w:hAnsi="Cambria" w:cstheme="minorHAnsi"/>
          <w:lang w:val="id-ID"/>
        </w:rPr>
        <w:t>pada kelompok (K-) dengan kelompok (P). Rerata konsumsi pakan tertinggi yaitu pada kelompok (K+). Hal ini dikarenakan kelompok (K+) mengalami resistensi insulin. Keadaan ini akan menyebabkan kinerja leptin dalam mengontrol nafsu makan di hipotalamus dan batang otak menjadi terganggu sehingga tubuh akan terus merasa lapar</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"Lee", "given" : "Robert D.", "non-dropping-particle" : "", "parse-names" : false, "suffix" : "" } ], "container-title" : "Nutrition Therapy and Pathophysiology.", "edition" : "2nd editio", "editor" : [ { "dropping-particle" : "", "family" : "Marcia Nelms, Kathryn P. Sucher, Karen Lacey", "given" : "Sara Long Roth.", "non-dropping-particle" : "", "parse-names" : false, "suffix" : "" } ], "id" : "ITEM-1", "issued" : { "date-parts" : [ [ "2010" ] ] }, "page" : "245-248", "publisher" : "Cengage Learning", "publisher-place" : "Wadsworth", "title" : "Energy Balance and Body Weight", "type" : "chapter" }, "uris" : [ "http://www.mendeley.com/documents/?uuid=3c01fc76-9df3-4987-a61e-1d972db36d3c" ] } ], "mendeley" : { "formattedCitation" : "(Lee, 2010)", "plainTextFormattedCitation" : "(Lee, 2010)", "previouslyFormattedCitation" : "(Lee, 2010)"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(Lee, 2010)</w:t>
      </w:r>
      <w:r w:rsidRPr="00295A79">
        <w:rPr>
          <w:rFonts w:ascii="Cambria" w:hAnsi="Cambria" w:cstheme="minorHAnsi"/>
          <w:lang w:val="id-ID"/>
        </w:rPr>
        <w:fldChar w:fldCharType="end"/>
      </w:r>
      <w:r>
        <w:rPr>
          <w:rFonts w:ascii="Cambria" w:hAnsi="Cambria" w:cstheme="minorHAnsi"/>
        </w:rPr>
        <w:t>.</w:t>
      </w:r>
    </w:p>
    <w:p w14:paraId="692D6371" w14:textId="77777777" w:rsidR="00AE2391" w:rsidRPr="00295A79" w:rsidRDefault="00AE2391" w:rsidP="00AE2391">
      <w:pPr>
        <w:spacing w:after="0" w:line="240" w:lineRule="auto"/>
        <w:jc w:val="both"/>
        <w:rPr>
          <w:rFonts w:ascii="Cambria" w:hAnsi="Cambria" w:cstheme="minorHAnsi"/>
          <w:b/>
          <w:bCs/>
          <w:color w:val="000000" w:themeColor="text1"/>
          <w:lang w:val="id-ID"/>
        </w:rPr>
      </w:pPr>
    </w:p>
    <w:p w14:paraId="0D4CC570" w14:textId="77777777" w:rsidR="00AE2391" w:rsidRPr="00295A79" w:rsidRDefault="00AE2391" w:rsidP="00AE2391">
      <w:pPr>
        <w:spacing w:after="0" w:line="240" w:lineRule="auto"/>
        <w:jc w:val="both"/>
        <w:rPr>
          <w:rFonts w:ascii="Cambria" w:hAnsi="Cambria" w:cstheme="minorHAnsi"/>
          <w:b/>
          <w:bCs/>
          <w:color w:val="000000" w:themeColor="text1"/>
          <w:lang w:val="id-ID"/>
        </w:rPr>
      </w:pPr>
      <w:r w:rsidRPr="00295A79">
        <w:rPr>
          <w:rFonts w:ascii="Cambria" w:hAnsi="Cambria" w:cstheme="minorHAnsi"/>
          <w:b/>
          <w:bCs/>
          <w:color w:val="000000" w:themeColor="text1"/>
          <w:lang w:val="id-ID"/>
        </w:rPr>
        <w:t>Kadar Kolesterol Total, Trigliserida, HDL, dan LDL Sebelum dan Setelah Pemberian Tepung Sorgum</w:t>
      </w:r>
    </w:p>
    <w:p w14:paraId="553F15EE" w14:textId="77777777" w:rsidR="00AE2391" w:rsidRPr="00295A79" w:rsidRDefault="00AE2391" w:rsidP="00AE2391">
      <w:pPr>
        <w:spacing w:after="0" w:line="240" w:lineRule="auto"/>
        <w:ind w:firstLine="720"/>
        <w:jc w:val="both"/>
        <w:rPr>
          <w:rFonts w:ascii="Cambria" w:hAnsi="Cambria" w:cstheme="minorHAnsi"/>
          <w:lang w:val="id-ID"/>
        </w:rPr>
      </w:pPr>
      <w:r w:rsidRPr="00295A79">
        <w:rPr>
          <w:rFonts w:ascii="Cambria" w:hAnsi="Cambria" w:cstheme="minorHAnsi"/>
          <w:color w:val="000000" w:themeColor="text1"/>
          <w:lang w:val="id-ID"/>
        </w:rPr>
        <w:t>Tabel 4 menunjukkan terdapat perbedaan yang signifikan kadar kolesterol total sebelum dan setelah intervensi pada masing-masing kelompok (</w:t>
      </w:r>
      <w:r w:rsidRPr="00295A79">
        <w:rPr>
          <w:rFonts w:ascii="Cambria" w:hAnsi="Cambria" w:cstheme="minorHAnsi"/>
          <w:i/>
          <w:iCs/>
          <w:color w:val="000000" w:themeColor="text1"/>
          <w:lang w:val="id-ID"/>
        </w:rPr>
        <w:t>p</w:t>
      </w:r>
      <w:r w:rsidRPr="00295A79">
        <w:rPr>
          <w:rFonts w:ascii="Cambria" w:hAnsi="Cambria" w:cstheme="minorHAnsi"/>
          <w:color w:val="000000" w:themeColor="text1"/>
          <w:lang w:val="id-ID"/>
        </w:rPr>
        <w:t>&lt;0,05). Selain itu juga terdapat perbedaan signifikan kadar kolesterol total antar kelompok baik sebelum, setelah intervensi maupun delta perubahan (</w:t>
      </w:r>
      <w:r w:rsidRPr="00295A79">
        <w:rPr>
          <w:rFonts w:ascii="Cambria" w:hAnsi="Cambria" w:cstheme="minorHAnsi"/>
          <w:i/>
          <w:iCs/>
          <w:color w:val="000000" w:themeColor="text1"/>
          <w:lang w:val="id-ID"/>
        </w:rPr>
        <w:t>p</w:t>
      </w:r>
      <w:r w:rsidRPr="00295A79">
        <w:rPr>
          <w:rFonts w:ascii="Cambria" w:hAnsi="Cambria" w:cstheme="minorHAnsi"/>
          <w:color w:val="000000" w:themeColor="text1"/>
          <w:lang w:val="id-ID"/>
        </w:rPr>
        <w:t xml:space="preserve">&lt;0,05). </w:t>
      </w:r>
      <w:r w:rsidRPr="00295A79">
        <w:rPr>
          <w:rFonts w:ascii="Cambria" w:hAnsi="Cambria" w:cstheme="minorHAnsi"/>
          <w:lang w:val="id-ID"/>
        </w:rPr>
        <w:t xml:space="preserve">Tingginya kadar kolesterol total pada kelompok (K+) dan (P) sebelum intervensi terjadi karena kondisi resistensi insulin meningkatkan glukoneogenesis yang menyebabkan asam lemak </w:t>
      </w:r>
    </w:p>
    <w:tbl>
      <w:tblPr>
        <w:tblStyle w:val="TableGrid"/>
        <w:tblpPr w:leftFromText="180" w:rightFromText="180" w:vertAnchor="text" w:horzAnchor="margin" w:tblpY="4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E2391" w:rsidRPr="004D1F42" w14:paraId="272C0FB2" w14:textId="77777777" w:rsidTr="00A933DB">
        <w:tc>
          <w:tcPr>
            <w:tcW w:w="9493" w:type="dxa"/>
          </w:tcPr>
          <w:p w14:paraId="703926CC" w14:textId="77777777" w:rsidR="00AE2391" w:rsidRDefault="00AE2391" w:rsidP="00A933DB">
            <w:pPr>
              <w:pStyle w:val="Caption"/>
              <w:spacing w:after="0"/>
              <w:jc w:val="center"/>
              <w:rPr>
                <w:rFonts w:ascii="Cambria" w:hAnsi="Cambria" w:cstheme="minorHAnsi"/>
                <w:b/>
                <w:bCs/>
                <w:i w:val="0"/>
                <w:iCs w:val="0"/>
                <w:color w:val="000000" w:themeColor="text1"/>
                <w:sz w:val="22"/>
                <w:szCs w:val="22"/>
                <w:lang w:val="id-ID"/>
              </w:rPr>
            </w:pPr>
          </w:p>
          <w:p w14:paraId="5B924A0E" w14:textId="77777777" w:rsidR="00AE2391" w:rsidRPr="004D1F42" w:rsidRDefault="00AE2391" w:rsidP="00A933DB">
            <w:pPr>
              <w:pStyle w:val="Caption"/>
              <w:spacing w:after="0"/>
              <w:jc w:val="center"/>
              <w:rPr>
                <w:rFonts w:ascii="Cambria" w:hAnsi="Cambria" w:cstheme="minorHAnsi"/>
                <w:b/>
                <w:bCs/>
                <w:i w:val="0"/>
                <w:iCs w:val="0"/>
                <w:color w:val="000000" w:themeColor="text1"/>
                <w:sz w:val="22"/>
                <w:szCs w:val="22"/>
                <w:lang w:val="id-ID"/>
              </w:rPr>
            </w:pPr>
            <w:r w:rsidRPr="004D1F42">
              <w:rPr>
                <w:rFonts w:ascii="Cambria" w:hAnsi="Cambria" w:cstheme="minorHAnsi"/>
                <w:b/>
                <w:bCs/>
                <w:i w:val="0"/>
                <w:iCs w:val="0"/>
                <w:color w:val="000000" w:themeColor="text1"/>
                <w:sz w:val="22"/>
                <w:szCs w:val="22"/>
                <w:lang w:val="id-ID"/>
              </w:rPr>
              <w:t xml:space="preserve">Tabel </w:t>
            </w:r>
            <w:r w:rsidRPr="004D1F42">
              <w:rPr>
                <w:rFonts w:ascii="Cambria" w:hAnsi="Cambria" w:cstheme="minorHAnsi"/>
                <w:b/>
                <w:bCs/>
                <w:i w:val="0"/>
                <w:iCs w:val="0"/>
                <w:color w:val="000000" w:themeColor="text1"/>
                <w:sz w:val="22"/>
                <w:szCs w:val="22"/>
                <w:lang w:val="id-ID"/>
              </w:rPr>
              <w:fldChar w:fldCharType="begin"/>
            </w:r>
            <w:r w:rsidRPr="004D1F42">
              <w:rPr>
                <w:rFonts w:ascii="Cambria" w:hAnsi="Cambria" w:cstheme="minorHAnsi"/>
                <w:b/>
                <w:bCs/>
                <w:i w:val="0"/>
                <w:iCs w:val="0"/>
                <w:color w:val="000000" w:themeColor="text1"/>
                <w:sz w:val="22"/>
                <w:szCs w:val="22"/>
                <w:lang w:val="id-ID"/>
              </w:rPr>
              <w:instrText xml:space="preserve"> SEQ Tabel \* ARABIC </w:instrText>
            </w:r>
            <w:r w:rsidRPr="004D1F42">
              <w:rPr>
                <w:rFonts w:ascii="Cambria" w:hAnsi="Cambria" w:cstheme="minorHAnsi"/>
                <w:b/>
                <w:bCs/>
                <w:i w:val="0"/>
                <w:iCs w:val="0"/>
                <w:color w:val="000000" w:themeColor="text1"/>
                <w:sz w:val="22"/>
                <w:szCs w:val="22"/>
                <w:lang w:val="id-ID"/>
              </w:rPr>
              <w:fldChar w:fldCharType="separate"/>
            </w:r>
            <w:r>
              <w:rPr>
                <w:rFonts w:ascii="Cambria" w:hAnsi="Cambria" w:cstheme="minorHAnsi"/>
                <w:b/>
                <w:bCs/>
                <w:i w:val="0"/>
                <w:iCs w:val="0"/>
                <w:noProof/>
                <w:color w:val="000000" w:themeColor="text1"/>
                <w:sz w:val="22"/>
                <w:szCs w:val="22"/>
                <w:lang w:val="id-ID"/>
              </w:rPr>
              <w:t>2</w:t>
            </w:r>
            <w:r w:rsidRPr="004D1F42">
              <w:rPr>
                <w:rFonts w:ascii="Cambria" w:hAnsi="Cambria" w:cstheme="minorHAnsi"/>
                <w:b/>
                <w:bCs/>
                <w:i w:val="0"/>
                <w:iCs w:val="0"/>
                <w:color w:val="000000" w:themeColor="text1"/>
                <w:sz w:val="22"/>
                <w:szCs w:val="22"/>
                <w:lang w:val="id-ID"/>
              </w:rPr>
              <w:fldChar w:fldCharType="end"/>
            </w:r>
            <w:r w:rsidRPr="004D1F42">
              <w:rPr>
                <w:rFonts w:ascii="Cambria" w:hAnsi="Cambria" w:cstheme="minorHAnsi"/>
                <w:b/>
                <w:bCs/>
                <w:i w:val="0"/>
                <w:iCs w:val="0"/>
                <w:color w:val="000000" w:themeColor="text1"/>
                <w:sz w:val="22"/>
                <w:szCs w:val="22"/>
                <w:lang w:val="id-ID"/>
              </w:rPr>
              <w:t xml:space="preserve">. </w:t>
            </w:r>
            <w:r w:rsidRPr="004D1F42">
              <w:rPr>
                <w:rFonts w:ascii="Cambria" w:hAnsi="Cambria" w:cstheme="minorHAnsi"/>
                <w:i w:val="0"/>
                <w:iCs w:val="0"/>
                <w:color w:val="000000" w:themeColor="text1"/>
                <w:sz w:val="22"/>
                <w:szCs w:val="22"/>
                <w:lang w:val="id-ID"/>
              </w:rPr>
              <w:t>Rerata Berat Badan Tikus selama Penelitian</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704"/>
              <w:gridCol w:w="1557"/>
              <w:gridCol w:w="1700"/>
              <w:gridCol w:w="1415"/>
              <w:gridCol w:w="991"/>
              <w:gridCol w:w="886"/>
            </w:tblGrid>
            <w:tr w:rsidR="00AE2391" w:rsidRPr="004D1F42" w14:paraId="1AA90800" w14:textId="77777777" w:rsidTr="00A933DB">
              <w:tc>
                <w:tcPr>
                  <w:tcW w:w="1843" w:type="dxa"/>
                  <w:vMerge w:val="restart"/>
                  <w:tcBorders>
                    <w:top w:val="single" w:sz="4" w:space="0" w:color="auto"/>
                  </w:tcBorders>
                  <w:vAlign w:val="center"/>
                </w:tcPr>
                <w:p w14:paraId="162FF54C"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Kelompok</w:t>
                  </w:r>
                </w:p>
              </w:tc>
              <w:tc>
                <w:tcPr>
                  <w:tcW w:w="709" w:type="dxa"/>
                  <w:vMerge w:val="restart"/>
                  <w:tcBorders>
                    <w:top w:val="single" w:sz="4" w:space="0" w:color="auto"/>
                  </w:tcBorders>
                  <w:vAlign w:val="center"/>
                </w:tcPr>
                <w:p w14:paraId="48E221E7"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n</w:t>
                  </w:r>
                </w:p>
              </w:tc>
              <w:tc>
                <w:tcPr>
                  <w:tcW w:w="4678" w:type="dxa"/>
                  <w:gridSpan w:val="3"/>
                  <w:tcBorders>
                    <w:top w:val="single" w:sz="4" w:space="0" w:color="auto"/>
                    <w:bottom w:val="single" w:sz="4" w:space="0" w:color="auto"/>
                  </w:tcBorders>
                  <w:vAlign w:val="center"/>
                </w:tcPr>
                <w:p w14:paraId="263B64B9"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Rerata ± SD (mg/dl)</w:t>
                  </w:r>
                </w:p>
              </w:tc>
              <w:tc>
                <w:tcPr>
                  <w:tcW w:w="992" w:type="dxa"/>
                  <w:vMerge w:val="restart"/>
                  <w:tcBorders>
                    <w:top w:val="single" w:sz="4" w:space="0" w:color="auto"/>
                  </w:tcBorders>
                  <w:vAlign w:val="center"/>
                </w:tcPr>
                <w:p w14:paraId="4F93E3D3" w14:textId="77777777" w:rsidR="00AE2391" w:rsidRPr="004D1F42" w:rsidRDefault="00AE2391" w:rsidP="00375ADC">
                  <w:pPr>
                    <w:framePr w:hSpace="180" w:wrap="around" w:vAnchor="text" w:hAnchor="margin" w:y="46"/>
                    <w:jc w:val="center"/>
                    <w:rPr>
                      <w:rFonts w:ascii="Cambria" w:hAnsi="Cambria" w:cstheme="minorHAnsi"/>
                      <w:color w:val="000000" w:themeColor="text1"/>
                      <w:vertAlign w:val="superscript"/>
                      <w:lang w:val="id-ID"/>
                    </w:rPr>
                  </w:pPr>
                  <w:r w:rsidRPr="004D1F42">
                    <w:rPr>
                      <w:rFonts w:ascii="Cambria" w:hAnsi="Cambria" w:cstheme="minorHAnsi"/>
                      <w:color w:val="000000" w:themeColor="text1"/>
                      <w:lang w:val="id-ID"/>
                    </w:rPr>
                    <w:t>P</w:t>
                  </w:r>
                  <w:r w:rsidRPr="004D1F42">
                    <w:rPr>
                      <w:rFonts w:ascii="Cambria" w:hAnsi="Cambria" w:cstheme="minorHAnsi"/>
                      <w:color w:val="000000" w:themeColor="text1"/>
                      <w:vertAlign w:val="superscript"/>
                      <w:lang w:val="id-ID"/>
                    </w:rPr>
                    <w:t>1</w:t>
                  </w:r>
                </w:p>
              </w:tc>
              <w:tc>
                <w:tcPr>
                  <w:tcW w:w="865" w:type="dxa"/>
                  <w:vMerge w:val="restart"/>
                  <w:tcBorders>
                    <w:top w:val="single" w:sz="4" w:space="0" w:color="auto"/>
                  </w:tcBorders>
                  <w:vAlign w:val="center"/>
                </w:tcPr>
                <w:p w14:paraId="7797EE97" w14:textId="77777777" w:rsidR="00AE2391" w:rsidRPr="004D1F42" w:rsidRDefault="00AE2391" w:rsidP="00375ADC">
                  <w:pPr>
                    <w:framePr w:hSpace="180" w:wrap="around" w:vAnchor="text" w:hAnchor="margin" w:y="46"/>
                    <w:jc w:val="center"/>
                    <w:rPr>
                      <w:rFonts w:ascii="Cambria" w:hAnsi="Cambria" w:cstheme="minorHAnsi"/>
                      <w:color w:val="000000" w:themeColor="text1"/>
                      <w:vertAlign w:val="superscript"/>
                      <w:lang w:val="id-ID"/>
                    </w:rPr>
                  </w:pPr>
                  <w:r w:rsidRPr="004D1F42">
                    <w:rPr>
                      <w:rFonts w:ascii="Cambria" w:hAnsi="Cambria" w:cstheme="minorHAnsi"/>
                      <w:color w:val="000000" w:themeColor="text1"/>
                      <w:lang w:val="id-ID"/>
                    </w:rPr>
                    <w:t>P</w:t>
                  </w:r>
                  <w:r w:rsidRPr="004D1F42">
                    <w:rPr>
                      <w:rFonts w:ascii="Cambria" w:hAnsi="Cambria" w:cstheme="minorHAnsi"/>
                      <w:color w:val="000000" w:themeColor="text1"/>
                      <w:vertAlign w:val="superscript"/>
                      <w:lang w:val="id-ID"/>
                    </w:rPr>
                    <w:t>2</w:t>
                  </w:r>
                </w:p>
              </w:tc>
            </w:tr>
            <w:tr w:rsidR="00AE2391" w:rsidRPr="004D1F42" w14:paraId="416ABF0A" w14:textId="77777777" w:rsidTr="00A933DB">
              <w:tc>
                <w:tcPr>
                  <w:tcW w:w="1843" w:type="dxa"/>
                  <w:vMerge/>
                  <w:tcBorders>
                    <w:bottom w:val="single" w:sz="4" w:space="0" w:color="auto"/>
                  </w:tcBorders>
                  <w:vAlign w:val="center"/>
                </w:tcPr>
                <w:p w14:paraId="61A4A644"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c>
                <w:tcPr>
                  <w:tcW w:w="709" w:type="dxa"/>
                  <w:vMerge/>
                  <w:tcBorders>
                    <w:bottom w:val="single" w:sz="4" w:space="0" w:color="auto"/>
                  </w:tcBorders>
                  <w:vAlign w:val="center"/>
                </w:tcPr>
                <w:p w14:paraId="048B5660"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c>
                <w:tcPr>
                  <w:tcW w:w="1559" w:type="dxa"/>
                  <w:tcBorders>
                    <w:top w:val="single" w:sz="4" w:space="0" w:color="auto"/>
                    <w:bottom w:val="single" w:sz="4" w:space="0" w:color="auto"/>
                  </w:tcBorders>
                  <w:vAlign w:val="center"/>
                </w:tcPr>
                <w:p w14:paraId="707D41EA"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Aklimatisasi</w:t>
                  </w:r>
                </w:p>
              </w:tc>
              <w:tc>
                <w:tcPr>
                  <w:tcW w:w="1701" w:type="dxa"/>
                  <w:tcBorders>
                    <w:top w:val="single" w:sz="4" w:space="0" w:color="auto"/>
                    <w:bottom w:val="single" w:sz="4" w:space="0" w:color="auto"/>
                  </w:tcBorders>
                  <w:vAlign w:val="center"/>
                </w:tcPr>
                <w:p w14:paraId="1056B22F"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Pengkondisian</w:t>
                  </w:r>
                </w:p>
                <w:p w14:paraId="68FE786F"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DM</w:t>
                  </w:r>
                </w:p>
              </w:tc>
              <w:tc>
                <w:tcPr>
                  <w:tcW w:w="1418" w:type="dxa"/>
                  <w:tcBorders>
                    <w:top w:val="single" w:sz="4" w:space="0" w:color="auto"/>
                    <w:bottom w:val="single" w:sz="4" w:space="0" w:color="auto"/>
                  </w:tcBorders>
                  <w:vAlign w:val="center"/>
                </w:tcPr>
                <w:p w14:paraId="055F1F7B"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Intervensi</w:t>
                  </w:r>
                </w:p>
              </w:tc>
              <w:tc>
                <w:tcPr>
                  <w:tcW w:w="992" w:type="dxa"/>
                  <w:vMerge/>
                  <w:tcBorders>
                    <w:bottom w:val="single" w:sz="4" w:space="0" w:color="auto"/>
                  </w:tcBorders>
                  <w:vAlign w:val="center"/>
                </w:tcPr>
                <w:p w14:paraId="2D476D67"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c>
                <w:tcPr>
                  <w:tcW w:w="865" w:type="dxa"/>
                  <w:vMerge/>
                  <w:tcBorders>
                    <w:bottom w:val="single" w:sz="4" w:space="0" w:color="auto"/>
                  </w:tcBorders>
                  <w:vAlign w:val="center"/>
                </w:tcPr>
                <w:p w14:paraId="283CD958"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r>
            <w:tr w:rsidR="00AE2391" w:rsidRPr="004D1F42" w14:paraId="6EAC0245" w14:textId="77777777" w:rsidTr="00A933DB">
              <w:tc>
                <w:tcPr>
                  <w:tcW w:w="1843" w:type="dxa"/>
                  <w:tcBorders>
                    <w:top w:val="single" w:sz="4" w:space="0" w:color="auto"/>
                  </w:tcBorders>
                  <w:vAlign w:val="center"/>
                </w:tcPr>
                <w:p w14:paraId="372FB3B5"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Kontrol negatif (K-)</w:t>
                  </w:r>
                </w:p>
              </w:tc>
              <w:tc>
                <w:tcPr>
                  <w:tcW w:w="709" w:type="dxa"/>
                  <w:tcBorders>
                    <w:top w:val="single" w:sz="4" w:space="0" w:color="auto"/>
                  </w:tcBorders>
                  <w:vAlign w:val="center"/>
                </w:tcPr>
                <w:p w14:paraId="3C0DEEC3"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1559" w:type="dxa"/>
                  <w:tcBorders>
                    <w:top w:val="single" w:sz="4" w:space="0" w:color="auto"/>
                  </w:tcBorders>
                  <w:vAlign w:val="center"/>
                </w:tcPr>
                <w:p w14:paraId="7D8D77AB"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185,00 ± 6,63</w:t>
                  </w:r>
                </w:p>
              </w:tc>
              <w:tc>
                <w:tcPr>
                  <w:tcW w:w="1701" w:type="dxa"/>
                  <w:tcBorders>
                    <w:top w:val="single" w:sz="4" w:space="0" w:color="auto"/>
                  </w:tcBorders>
                  <w:vAlign w:val="center"/>
                </w:tcPr>
                <w:p w14:paraId="3734CA3E"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191,50 ± 6,83</w:t>
                  </w:r>
                </w:p>
              </w:tc>
              <w:tc>
                <w:tcPr>
                  <w:tcW w:w="1418" w:type="dxa"/>
                  <w:tcBorders>
                    <w:top w:val="single" w:sz="4" w:space="0" w:color="auto"/>
                  </w:tcBorders>
                  <w:vAlign w:val="center"/>
                </w:tcPr>
                <w:p w14:paraId="7F3F6E62"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215,83 ± 5,74</w:t>
                  </w:r>
                  <w:r w:rsidRPr="004D1F42">
                    <w:rPr>
                      <w:rFonts w:ascii="Cambria" w:hAnsi="Cambria" w:cstheme="minorHAnsi"/>
                      <w:color w:val="000000" w:themeColor="text1"/>
                      <w:sz w:val="22"/>
                      <w:szCs w:val="22"/>
                      <w:vertAlign w:val="superscript"/>
                      <w:lang w:val="id-ID"/>
                    </w:rPr>
                    <w:t>a</w:t>
                  </w:r>
                </w:p>
              </w:tc>
              <w:tc>
                <w:tcPr>
                  <w:tcW w:w="992" w:type="dxa"/>
                  <w:tcBorders>
                    <w:top w:val="single" w:sz="4" w:space="0" w:color="auto"/>
                  </w:tcBorders>
                  <w:vAlign w:val="center"/>
                </w:tcPr>
                <w:p w14:paraId="3F7A98D7" w14:textId="77777777" w:rsidR="00AE2391" w:rsidRPr="004D1F42" w:rsidRDefault="00AE2391" w:rsidP="00375ADC">
                  <w:pPr>
                    <w:framePr w:hSpace="180" w:wrap="around" w:vAnchor="text" w:hAnchor="margin" w:y="46"/>
                    <w:jc w:val="center"/>
                    <w:rPr>
                      <w:rFonts w:ascii="Cambria" w:hAnsi="Cambria" w:cstheme="minorHAnsi"/>
                      <w:color w:val="000000" w:themeColor="text1"/>
                      <w:vertAlign w:val="superscript"/>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c>
                <w:tcPr>
                  <w:tcW w:w="865" w:type="dxa"/>
                  <w:tcBorders>
                    <w:top w:val="single" w:sz="4" w:space="0" w:color="auto"/>
                  </w:tcBorders>
                  <w:vAlign w:val="center"/>
                </w:tcPr>
                <w:p w14:paraId="5D465808"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4ABD095F" w14:textId="77777777" w:rsidTr="00A933DB">
              <w:tc>
                <w:tcPr>
                  <w:tcW w:w="1843" w:type="dxa"/>
                  <w:vAlign w:val="center"/>
                </w:tcPr>
                <w:p w14:paraId="57E00953"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Kontrol positif (K+)</w:t>
                  </w:r>
                </w:p>
              </w:tc>
              <w:tc>
                <w:tcPr>
                  <w:tcW w:w="709" w:type="dxa"/>
                  <w:vAlign w:val="center"/>
                </w:tcPr>
                <w:p w14:paraId="48D2A386"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1559" w:type="dxa"/>
                  <w:vAlign w:val="center"/>
                </w:tcPr>
                <w:p w14:paraId="53D81482"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187,17 ± 2,99</w:t>
                  </w:r>
                </w:p>
              </w:tc>
              <w:tc>
                <w:tcPr>
                  <w:tcW w:w="1701" w:type="dxa"/>
                  <w:vAlign w:val="center"/>
                </w:tcPr>
                <w:p w14:paraId="2397AE59"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193,67 ± 3,33</w:t>
                  </w:r>
                </w:p>
              </w:tc>
              <w:tc>
                <w:tcPr>
                  <w:tcW w:w="1418" w:type="dxa"/>
                  <w:vAlign w:val="center"/>
                </w:tcPr>
                <w:p w14:paraId="0D084E1F"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vertAlign w:val="superscript"/>
                      <w:lang w:val="id-ID"/>
                    </w:rPr>
                  </w:pPr>
                  <w:r w:rsidRPr="004D1F42">
                    <w:rPr>
                      <w:rFonts w:ascii="Cambria" w:hAnsi="Cambria" w:cstheme="minorHAnsi"/>
                      <w:color w:val="000000" w:themeColor="text1"/>
                      <w:sz w:val="22"/>
                      <w:szCs w:val="22"/>
                      <w:lang w:val="id-ID"/>
                    </w:rPr>
                    <w:t>178,17 ± 3,19</w:t>
                  </w:r>
                  <w:r w:rsidRPr="004D1F42">
                    <w:rPr>
                      <w:rFonts w:ascii="Cambria" w:hAnsi="Cambria" w:cstheme="minorHAnsi"/>
                      <w:color w:val="000000" w:themeColor="text1"/>
                      <w:sz w:val="22"/>
                      <w:szCs w:val="22"/>
                      <w:vertAlign w:val="superscript"/>
                      <w:lang w:val="id-ID"/>
                    </w:rPr>
                    <w:t>b</w:t>
                  </w:r>
                </w:p>
              </w:tc>
              <w:tc>
                <w:tcPr>
                  <w:tcW w:w="992" w:type="dxa"/>
                  <w:vAlign w:val="center"/>
                </w:tcPr>
                <w:p w14:paraId="12A9C12C"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c>
                <w:tcPr>
                  <w:tcW w:w="865" w:type="dxa"/>
                  <w:vAlign w:val="center"/>
                </w:tcPr>
                <w:p w14:paraId="15647A85"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1BA8E4DF" w14:textId="77777777" w:rsidTr="00A933DB">
              <w:tc>
                <w:tcPr>
                  <w:tcW w:w="1843" w:type="dxa"/>
                  <w:vAlign w:val="center"/>
                </w:tcPr>
                <w:p w14:paraId="511D5F2C"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Perlakuan (P)</w:t>
                  </w:r>
                </w:p>
              </w:tc>
              <w:tc>
                <w:tcPr>
                  <w:tcW w:w="709" w:type="dxa"/>
                  <w:vAlign w:val="center"/>
                </w:tcPr>
                <w:p w14:paraId="6ED8F6C5"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1559" w:type="dxa"/>
                  <w:vAlign w:val="center"/>
                </w:tcPr>
                <w:p w14:paraId="147FD0F7"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185,83 ± 5,34</w:t>
                  </w:r>
                </w:p>
              </w:tc>
              <w:tc>
                <w:tcPr>
                  <w:tcW w:w="1701" w:type="dxa"/>
                  <w:vAlign w:val="center"/>
                </w:tcPr>
                <w:p w14:paraId="06804EB4"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192,50 ± 5,65*</w:t>
                  </w:r>
                </w:p>
              </w:tc>
              <w:tc>
                <w:tcPr>
                  <w:tcW w:w="1418" w:type="dxa"/>
                  <w:vAlign w:val="center"/>
                </w:tcPr>
                <w:p w14:paraId="035800FF"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vertAlign w:val="superscript"/>
                      <w:lang w:val="id-ID"/>
                    </w:rPr>
                  </w:pPr>
                  <w:r w:rsidRPr="004D1F42">
                    <w:rPr>
                      <w:rFonts w:ascii="Cambria" w:hAnsi="Cambria" w:cstheme="minorHAnsi"/>
                      <w:color w:val="000000" w:themeColor="text1"/>
                      <w:sz w:val="22"/>
                      <w:szCs w:val="22"/>
                      <w:lang w:val="id-ID"/>
                    </w:rPr>
                    <w:t>206,17 ± 5,19</w:t>
                  </w:r>
                  <w:r w:rsidRPr="004D1F42">
                    <w:rPr>
                      <w:rFonts w:ascii="Cambria" w:hAnsi="Cambria" w:cstheme="minorHAnsi"/>
                      <w:color w:val="000000" w:themeColor="text1"/>
                      <w:sz w:val="22"/>
                      <w:szCs w:val="22"/>
                      <w:vertAlign w:val="superscript"/>
                      <w:lang w:val="id-ID"/>
                    </w:rPr>
                    <w:t>c</w:t>
                  </w:r>
                </w:p>
              </w:tc>
              <w:tc>
                <w:tcPr>
                  <w:tcW w:w="992" w:type="dxa"/>
                  <w:vAlign w:val="center"/>
                </w:tcPr>
                <w:p w14:paraId="622AF38D"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c>
                <w:tcPr>
                  <w:tcW w:w="865" w:type="dxa"/>
                  <w:vAlign w:val="center"/>
                </w:tcPr>
                <w:p w14:paraId="24CE5BEA"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40817A49" w14:textId="77777777" w:rsidTr="00A933DB">
              <w:tc>
                <w:tcPr>
                  <w:tcW w:w="1843" w:type="dxa"/>
                  <w:tcBorders>
                    <w:bottom w:val="single" w:sz="4" w:space="0" w:color="auto"/>
                  </w:tcBorders>
                  <w:vAlign w:val="center"/>
                </w:tcPr>
                <w:p w14:paraId="3960EFB7"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r w:rsidRPr="004D1F42">
                    <w:rPr>
                      <w:rFonts w:ascii="Cambria" w:hAnsi="Cambria" w:cstheme="minorHAnsi"/>
                      <w:i/>
                      <w:iCs/>
                      <w:color w:val="000000" w:themeColor="text1"/>
                      <w:lang w:val="id-ID"/>
                    </w:rPr>
                    <w:t>p</w:t>
                  </w:r>
                </w:p>
              </w:tc>
              <w:tc>
                <w:tcPr>
                  <w:tcW w:w="709" w:type="dxa"/>
                  <w:tcBorders>
                    <w:bottom w:val="single" w:sz="4" w:space="0" w:color="auto"/>
                  </w:tcBorders>
                  <w:vAlign w:val="center"/>
                </w:tcPr>
                <w:p w14:paraId="56D91BDE"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c>
                <w:tcPr>
                  <w:tcW w:w="1559" w:type="dxa"/>
                  <w:tcBorders>
                    <w:bottom w:val="single" w:sz="4" w:space="0" w:color="auto"/>
                  </w:tcBorders>
                  <w:vAlign w:val="center"/>
                </w:tcPr>
                <w:p w14:paraId="620EEC10"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0,772</w:t>
                  </w:r>
                  <w:r w:rsidRPr="004D1F42">
                    <w:rPr>
                      <w:rFonts w:ascii="Cambria" w:hAnsi="Cambria" w:cstheme="minorHAnsi"/>
                      <w:color w:val="000000" w:themeColor="text1"/>
                      <w:sz w:val="22"/>
                      <w:szCs w:val="22"/>
                      <w:vertAlign w:val="superscript"/>
                      <w:lang w:val="id-ID"/>
                    </w:rPr>
                    <w:t>1</w:t>
                  </w:r>
                </w:p>
              </w:tc>
              <w:tc>
                <w:tcPr>
                  <w:tcW w:w="1701" w:type="dxa"/>
                  <w:tcBorders>
                    <w:bottom w:val="single" w:sz="4" w:space="0" w:color="auto"/>
                  </w:tcBorders>
                  <w:vAlign w:val="center"/>
                </w:tcPr>
                <w:p w14:paraId="71830889" w14:textId="77777777" w:rsidR="00AE2391" w:rsidRPr="004D1F42" w:rsidRDefault="00AE2391" w:rsidP="00375ADC">
                  <w:pPr>
                    <w:pStyle w:val="Default"/>
                    <w:framePr w:hSpace="180" w:wrap="around" w:vAnchor="text" w:hAnchor="margin" w:y="46"/>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0,793</w:t>
                  </w:r>
                  <w:r w:rsidRPr="004D1F42">
                    <w:rPr>
                      <w:rFonts w:ascii="Cambria" w:hAnsi="Cambria" w:cstheme="minorHAnsi"/>
                      <w:color w:val="000000" w:themeColor="text1"/>
                      <w:sz w:val="22"/>
                      <w:szCs w:val="22"/>
                      <w:vertAlign w:val="superscript"/>
                      <w:lang w:val="id-ID"/>
                    </w:rPr>
                    <w:t>1</w:t>
                  </w:r>
                </w:p>
              </w:tc>
              <w:tc>
                <w:tcPr>
                  <w:tcW w:w="1418" w:type="dxa"/>
                  <w:tcBorders>
                    <w:bottom w:val="single" w:sz="4" w:space="0" w:color="auto"/>
                  </w:tcBorders>
                  <w:vAlign w:val="center"/>
                </w:tcPr>
                <w:p w14:paraId="4AEB7118" w14:textId="77777777" w:rsidR="00AE2391" w:rsidRPr="004D1F42" w:rsidRDefault="00AE2391" w:rsidP="00375ADC">
                  <w:pPr>
                    <w:framePr w:hSpace="180" w:wrap="around" w:vAnchor="text" w:hAnchor="margin" w:y="46"/>
                    <w:jc w:val="center"/>
                    <w:rPr>
                      <w:rFonts w:ascii="Cambria" w:hAnsi="Cambria" w:cstheme="minorHAnsi"/>
                      <w:color w:val="000000" w:themeColor="text1"/>
                      <w:vertAlign w:val="superscript"/>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1*</w:t>
                  </w:r>
                </w:p>
              </w:tc>
              <w:tc>
                <w:tcPr>
                  <w:tcW w:w="992" w:type="dxa"/>
                  <w:tcBorders>
                    <w:bottom w:val="single" w:sz="4" w:space="0" w:color="auto"/>
                  </w:tcBorders>
                  <w:vAlign w:val="center"/>
                </w:tcPr>
                <w:p w14:paraId="455E9357"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c>
                <w:tcPr>
                  <w:tcW w:w="865" w:type="dxa"/>
                  <w:tcBorders>
                    <w:bottom w:val="single" w:sz="4" w:space="0" w:color="auto"/>
                  </w:tcBorders>
                  <w:vAlign w:val="center"/>
                </w:tcPr>
                <w:p w14:paraId="5847407A" w14:textId="77777777" w:rsidR="00AE2391" w:rsidRPr="004D1F42" w:rsidRDefault="00AE2391" w:rsidP="00375ADC">
                  <w:pPr>
                    <w:framePr w:hSpace="180" w:wrap="around" w:vAnchor="text" w:hAnchor="margin" w:y="46"/>
                    <w:jc w:val="center"/>
                    <w:rPr>
                      <w:rFonts w:ascii="Cambria" w:hAnsi="Cambria" w:cstheme="minorHAnsi"/>
                      <w:color w:val="000000" w:themeColor="text1"/>
                      <w:lang w:val="id-ID"/>
                    </w:rPr>
                  </w:pPr>
                </w:p>
              </w:tc>
            </w:tr>
          </w:tbl>
          <w:p w14:paraId="423D26EC" w14:textId="77777777" w:rsidR="00AE2391" w:rsidRDefault="00AE2391" w:rsidP="00A933DB">
            <w:pPr>
              <w:jc w:val="both"/>
              <w:rPr>
                <w:rFonts w:ascii="Cambria" w:hAnsi="Cambria" w:cstheme="minorHAnsi"/>
                <w:color w:val="000000" w:themeColor="text1"/>
                <w:lang w:val="id-ID"/>
              </w:rPr>
            </w:pPr>
            <w:r w:rsidRPr="004D1F42">
              <w:rPr>
                <w:rFonts w:ascii="Cambria" w:hAnsi="Cambria" w:cstheme="minorHAnsi"/>
                <w:color w:val="000000" w:themeColor="text1"/>
                <w:vertAlign w:val="superscript"/>
                <w:lang w:val="id-ID"/>
              </w:rPr>
              <w:t>1</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 xml:space="preserve">One Way Anova, </w:t>
            </w:r>
            <w:r w:rsidRPr="004D1F42">
              <w:rPr>
                <w:rFonts w:ascii="Cambria" w:hAnsi="Cambria" w:cstheme="minorHAnsi"/>
                <w:color w:val="000000" w:themeColor="text1"/>
                <w:vertAlign w:val="superscript"/>
                <w:lang w:val="id-ID"/>
              </w:rPr>
              <w:t>2</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Paired T-Test</w:t>
            </w:r>
            <w:r w:rsidRPr="004D1F42">
              <w:rPr>
                <w:rFonts w:ascii="Cambria" w:hAnsi="Cambria" w:cstheme="minorHAnsi"/>
                <w:color w:val="000000" w:themeColor="text1"/>
                <w:lang w:val="id-ID"/>
              </w:rPr>
              <w:t xml:space="preserve">, </w:t>
            </w:r>
            <w:r w:rsidRPr="004D1F42">
              <w:rPr>
                <w:rFonts w:ascii="Cambria" w:hAnsi="Cambria" w:cstheme="minorHAnsi"/>
                <w:color w:val="000000" w:themeColor="text1"/>
                <w:vertAlign w:val="superscript"/>
                <w:lang w:val="id-ID"/>
              </w:rPr>
              <w:t>a,b,c</w:t>
            </w:r>
            <w:r w:rsidRPr="004D1F42">
              <w:rPr>
                <w:rFonts w:ascii="Cambria" w:hAnsi="Cambria" w:cstheme="minorHAnsi"/>
                <w:color w:val="000000" w:themeColor="text1"/>
                <w:lang w:val="id-ID"/>
              </w:rPr>
              <w:t xml:space="preserve">Notasi berbeda pada kolom yang sama menunjukkan adanya perbedaan yang signifikan pada uji </w:t>
            </w:r>
            <w:r w:rsidRPr="004D1F42">
              <w:rPr>
                <w:rFonts w:ascii="Cambria" w:hAnsi="Cambria" w:cstheme="minorHAnsi"/>
                <w:i/>
                <w:iCs/>
                <w:color w:val="000000" w:themeColor="text1"/>
                <w:lang w:val="id-ID"/>
              </w:rPr>
              <w:t>Duncan</w:t>
            </w:r>
            <w:r w:rsidRPr="004D1F42">
              <w:rPr>
                <w:rFonts w:ascii="Cambria" w:hAnsi="Cambria" w:cstheme="minorHAnsi"/>
                <w:color w:val="000000" w:themeColor="text1"/>
                <w:lang w:val="id-ID"/>
              </w:rPr>
              <w:t xml:space="preserve">, </w:t>
            </w:r>
            <w:r w:rsidRPr="004D1F42">
              <w:rPr>
                <w:rFonts w:ascii="Cambria" w:hAnsi="Cambria" w:cstheme="minorHAnsi"/>
                <w:i/>
                <w:iCs/>
                <w:color w:val="000000" w:themeColor="text1"/>
                <w:lang w:val="id-ID"/>
              </w:rPr>
              <w:t>p</w:t>
            </w:r>
            <w:r w:rsidRPr="004D1F42">
              <w:rPr>
                <w:rFonts w:ascii="Cambria" w:hAnsi="Cambria" w:cstheme="minorHAnsi"/>
                <w:color w:val="000000" w:themeColor="text1"/>
                <w:vertAlign w:val="superscript"/>
                <w:lang w:val="id-ID"/>
              </w:rPr>
              <w:t>1</w:t>
            </w:r>
            <w:r w:rsidRPr="004D1F42">
              <w:rPr>
                <w:rFonts w:ascii="Cambria" w:hAnsi="Cambria" w:cstheme="minorHAnsi"/>
                <w:color w:val="000000" w:themeColor="text1"/>
                <w:lang w:val="id-ID"/>
              </w:rPr>
              <w:t xml:space="preserve">Aklimatisasi-pengkondisian DM, </w:t>
            </w:r>
            <w:r w:rsidRPr="004D1F42">
              <w:rPr>
                <w:rFonts w:ascii="Cambria" w:hAnsi="Cambria" w:cstheme="minorHAnsi"/>
                <w:i/>
                <w:iCs/>
                <w:color w:val="000000" w:themeColor="text1"/>
                <w:lang w:val="id-ID"/>
              </w:rPr>
              <w:t>p</w:t>
            </w:r>
            <w:r w:rsidRPr="004D1F42">
              <w:rPr>
                <w:rFonts w:ascii="Cambria" w:hAnsi="Cambria" w:cstheme="minorHAnsi"/>
                <w:color w:val="000000" w:themeColor="text1"/>
                <w:vertAlign w:val="superscript"/>
                <w:lang w:val="id-ID"/>
              </w:rPr>
              <w:t>2</w:t>
            </w:r>
            <w:r w:rsidRPr="004D1F42">
              <w:rPr>
                <w:rFonts w:ascii="Cambria" w:hAnsi="Cambria" w:cstheme="minorHAnsi"/>
                <w:color w:val="000000" w:themeColor="text1"/>
                <w:lang w:val="id-ID"/>
              </w:rPr>
              <w:t>Pengkondisian DM -intervensi, *Signifikan (</w:t>
            </w:r>
            <w:r w:rsidRPr="004D1F42">
              <w:rPr>
                <w:rFonts w:ascii="Cambria" w:hAnsi="Cambria" w:cstheme="minorHAnsi"/>
                <w:i/>
                <w:iCs/>
                <w:color w:val="000000" w:themeColor="text1"/>
                <w:lang w:val="id-ID"/>
              </w:rPr>
              <w:t>p</w:t>
            </w:r>
            <w:r w:rsidRPr="004D1F42">
              <w:rPr>
                <w:rFonts w:ascii="Cambria" w:hAnsi="Cambria" w:cstheme="minorHAnsi"/>
                <w:color w:val="000000" w:themeColor="text1"/>
                <w:lang w:val="id-ID"/>
              </w:rPr>
              <w:t>&lt;0,05)</w:t>
            </w:r>
          </w:p>
          <w:p w14:paraId="3F0B14DC" w14:textId="77777777" w:rsidR="00AE2391" w:rsidRPr="004D1F42" w:rsidRDefault="00AE2391" w:rsidP="00A933DB">
            <w:pPr>
              <w:jc w:val="both"/>
              <w:rPr>
                <w:rFonts w:ascii="Cambria" w:hAnsi="Cambria" w:cstheme="minorHAnsi"/>
                <w:color w:val="000000" w:themeColor="text1"/>
                <w:lang w:val="id-ID"/>
              </w:rPr>
            </w:pPr>
          </w:p>
        </w:tc>
      </w:tr>
    </w:tbl>
    <w:p w14:paraId="6062D5FC" w14:textId="77777777" w:rsidR="00AE2391" w:rsidRPr="00295A79" w:rsidRDefault="00AE2391" w:rsidP="00AE2391">
      <w:pPr>
        <w:spacing w:after="0" w:line="240" w:lineRule="auto"/>
        <w:jc w:val="both"/>
        <w:rPr>
          <w:rFonts w:ascii="Cambria" w:hAnsi="Cambria" w:cstheme="minorHAnsi"/>
          <w:b/>
          <w:bCs/>
        </w:rPr>
      </w:pPr>
      <w:r w:rsidRPr="00295A79">
        <w:rPr>
          <w:rFonts w:ascii="Cambria" w:hAnsi="Cambria" w:cstheme="minorHAnsi"/>
          <w:lang w:val="id-ID"/>
        </w:rPr>
        <w:t>bebas berlebih</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"Darmono", "given" : "", "non-dropping-particle" : "", "parse-names" : false, "suffix" : "" }, { "dropping-particle" : "", "family" : "Suhartono", "given" : "Tony", "non-dropping-particle" : "", "parse-names" : false, "suffix" : "" }, { "dropping-particle" : "", "family" : "Tjokorda", "given" : "", "non-dropping-particle" : "", "parse-names" : false, "suffix" : "" } ], "id" : "ITEM-1", "issued" : { "date-parts" : [ [ "2007" ] ] }, "publisher" : "Badan Penerbit Universitas Diponegoro", "publisher-place" : "Semarang", "title" : "Diabetes Mellitus Ditinjau dari Berbagai Aspek Penyakit Dalam.", "type" : "book" }, "uris" : [ "http://www.mendeley.com/documents/?uuid=58b3b6b6-cbd5-4785-8953-f7ec333b0f24" ] } ], "mendeley" : { "formattedCitation" : "(Darmono, Suhartono, &amp; Tjokorda, 2007)", "plainTextFormattedCitation" : "(Darmono, Suhartono, &amp; Tjokorda, 2007)", "previouslyFormattedCitation" : "(Darmono, Suhartono, &amp; Tjokorda, 2007)"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(Darmono, Suhartono, &amp; Tjokorda, 2007)</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Pada kelompok (K-) juga mengalami hiperkolesterolemia diduga akibat </w:t>
      </w:r>
      <w:r w:rsidRPr="00295A79">
        <w:rPr>
          <w:rFonts w:ascii="Cambria" w:hAnsi="Cambria" w:cstheme="minorHAnsi"/>
          <w:lang w:val="id-ID"/>
        </w:rPr>
        <w:t>adanya peningkatan berat badan subjek selama masa aklimatisasi hingga pengkondisisan DM</w:t>
      </w:r>
      <w:r w:rsidRPr="00295A79">
        <w:rPr>
          <w:rFonts w:ascii="Cambria" w:hAnsi="Cambria" w:cstheme="minorHAnsi"/>
        </w:rPr>
        <w:t>.</w:t>
      </w:r>
    </w:p>
    <w:p w14:paraId="4AB818D6" w14:textId="77777777" w:rsidR="00AE2391" w:rsidRDefault="00AE2391" w:rsidP="00AE2391">
      <w:pPr>
        <w:spacing w:after="0" w:line="240" w:lineRule="auto"/>
        <w:ind w:firstLine="720"/>
        <w:jc w:val="both"/>
        <w:rPr>
          <w:rFonts w:ascii="Cambria" w:hAnsi="Cambria" w:cstheme="minorHAnsi"/>
        </w:rPr>
      </w:pPr>
      <w:r w:rsidRPr="00295A79">
        <w:rPr>
          <w:rFonts w:ascii="Cambria" w:hAnsi="Cambria" w:cstheme="minorHAnsi"/>
          <w:color w:val="000000" w:themeColor="text1"/>
          <w:lang w:val="id-ID"/>
        </w:rPr>
        <w:t>Perbedaan signifikan juga terjadi pada kadar trigliserida sebelum dan sesudah intervensi pada masing-masing kelompok maupun antar kelompok (</w:t>
      </w:r>
      <w:r w:rsidRPr="00295A79">
        <w:rPr>
          <w:rFonts w:ascii="Cambria" w:hAnsi="Cambria" w:cstheme="minorHAnsi"/>
          <w:i/>
          <w:iCs/>
          <w:color w:val="000000" w:themeColor="text1"/>
          <w:lang w:val="id-ID"/>
        </w:rPr>
        <w:t>p</w:t>
      </w:r>
      <w:r w:rsidRPr="00295A79">
        <w:rPr>
          <w:rFonts w:ascii="Cambria" w:hAnsi="Cambria" w:cstheme="minorHAnsi"/>
          <w:color w:val="000000" w:themeColor="text1"/>
          <w:lang w:val="id-ID"/>
        </w:rPr>
        <w:t xml:space="preserve">&lt;0,05) (Tabel </w:t>
      </w:r>
      <w:r w:rsidRPr="00295A79">
        <w:rPr>
          <w:rFonts w:ascii="Cambria" w:hAnsi="Cambria" w:cstheme="minorHAnsi"/>
          <w:color w:val="000000" w:themeColor="text1"/>
        </w:rPr>
        <w:t>4</w:t>
      </w:r>
      <w:r w:rsidRPr="00295A79">
        <w:rPr>
          <w:rFonts w:ascii="Cambria" w:hAnsi="Cambria" w:cstheme="minorHAnsi"/>
          <w:color w:val="000000" w:themeColor="text1"/>
          <w:lang w:val="id-ID"/>
        </w:rPr>
        <w:t>). K</w:t>
      </w:r>
      <w:r w:rsidRPr="00295A79">
        <w:rPr>
          <w:rFonts w:ascii="Cambria" w:hAnsi="Cambria" w:cstheme="minorHAnsi"/>
          <w:lang w:val="id-ID"/>
        </w:rPr>
        <w:t>elompok (K+) dan (P) mengalami hipertrigliseridemia dengan kadar trigliserida &gt;114 mg/dl setelah dikondisikan mengalami DM.</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"Giknis", "given" : "Mary L.A.", "non-dropping-particle" : "", "parse-names" : false, "suffix" : "" }, { "dropping-particle" : "", "family" : "Clifford", "given" : "Charles B.", "non-dropping-particle" : "", "parse-names" : false, "suffix" : "" } ], "id" : "ITEM-1", "issued" : { "date-parts" : [ [ "2008" ] ] }, "number-of-pages" : "1-17", "title" : "Clinical Laboratory Parameters For Crl : WI (Han)", "type" : "report" }, "uris" : [ "http://www.mendeley.com/documents/?uuid=04810a51-546b-4602-b036-9b20b48ce6ae" ] } ], "mendeley" : { "formattedCitation" : "(Giknis &amp; Clifford, 2008)", "plainTextFormattedCitation" : "(Giknis &amp; Clifford, 2008)", "previouslyFormattedCitation" : "(Giknis &amp; Clifford, 2008)"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(Giknis &amp; Clifford, 2008)</w:t>
      </w:r>
      <w:r w:rsidRPr="00295A79">
        <w:rPr>
          <w:rFonts w:ascii="Cambria" w:hAnsi="Cambria" w:cstheme="minorHAnsi"/>
          <w:lang w:val="id-ID"/>
        </w:rPr>
        <w:fldChar w:fldCharType="end"/>
      </w:r>
      <w:r w:rsidRPr="00295A79">
        <w:rPr>
          <w:rFonts w:ascii="Cambria" w:hAnsi="Cambria" w:cstheme="minorHAnsi"/>
          <w:lang w:val="id-ID"/>
        </w:rPr>
        <w:t xml:space="preserve"> Resistensi insulin menyebabkan berkurangnya aktivitas fungsional sel β sehingga pada kondisi resistensi insulin atau defisiensi insulin dapat mengganggu proses glikolisis akibat menurunnya kerja enzim </w:t>
      </w:r>
      <w:r w:rsidRPr="00295A79">
        <w:rPr>
          <w:rFonts w:ascii="Cambria" w:hAnsi="Cambria" w:cstheme="minorHAnsi"/>
          <w:i/>
          <w:iCs/>
          <w:lang w:val="id-ID"/>
        </w:rPr>
        <w:t>glukokinase</w:t>
      </w:r>
      <w:r w:rsidRPr="00295A79">
        <w:rPr>
          <w:rFonts w:ascii="Cambria" w:hAnsi="Cambria" w:cstheme="minorHAnsi"/>
          <w:lang w:val="id-ID"/>
        </w:rPr>
        <w:t xml:space="preserve">, </w:t>
      </w:r>
      <w:r w:rsidRPr="00295A79">
        <w:rPr>
          <w:rFonts w:ascii="Cambria" w:hAnsi="Cambria" w:cstheme="minorHAnsi"/>
          <w:i/>
          <w:iCs/>
          <w:lang w:val="id-ID"/>
        </w:rPr>
        <w:t>fosfofruktokinase</w:t>
      </w:r>
      <w:r w:rsidRPr="00295A79">
        <w:rPr>
          <w:rFonts w:ascii="Cambria" w:hAnsi="Cambria" w:cstheme="minorHAnsi"/>
          <w:lang w:val="id-ID"/>
        </w:rPr>
        <w:t xml:space="preserve">, dan </w:t>
      </w:r>
      <w:r w:rsidRPr="00295A79">
        <w:rPr>
          <w:rFonts w:ascii="Cambria" w:hAnsi="Cambria" w:cstheme="minorHAnsi"/>
          <w:i/>
          <w:iCs/>
          <w:lang w:val="id-ID"/>
        </w:rPr>
        <w:t>piruvat kinase</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"Savych", "given" : "Alona", "non-dropping-particle" : "", "parse-names" : false, "suffix" : "" }, { "dropping-particle" : "", "family" : "Marchyshyn.", "given" : "Svitlana", "non-dropping-particle" : "", "parse-names" : false, "suffix" : "" } ], "container-title" : "The Pharma Innovation Journal", "id" : "ITEM-1", "issue" : "3", "issued" : { "date-parts" : [ [ "2017" ] ] }, "page" : "175-177", "title" : "Investigation of pharmacological activity the new antidiabetic plant gathering in streptozotocin-nicotinamide-induced diabetes in the rats", "type" : "article-journal", "volume" : "6" }, "uris" : [ "http://www.mendeley.com/documents/?uuid=87b587c6-6b98-4517-becf-b4429736b1b5" ] }, { "id" : "ITEM-2", "itemData" : { "author" : [ { "dropping-particle" : "", "family" : "Bender", "given" : "David A.", "non-dropping-particle" : "", "parse-names" : false, "suffix" : "" }, { "dropping-particle" : "", "family" : "Mayes", "given" : "Peter A.", "non-dropping-particle" : "", "parse-names" : false, "suffix" : "" } ], "container-title" : "Biokimia Harper", "edition" : "29th editi", "id" : "ITEM-2", "issued" : { "date-parts" : [ [ "2008" ] ] }, "page" : "191-200", "publisher" : "Buku Kedokteran EGC", "publisher-place" : "Jakarta", "title" : "Glikolisis dan Oksidasi Piruvat", "type" : "chapter" }, "uris" : [ "http://www.mendeley.com/documents/?uuid=4ffd2c3a-6be1-4063-8b6d-e989a4d2a494" ] } ], "mendeley" : { "formattedCitation" : "(Bender &amp; Mayes, 2008; Savych &amp; Marchyshyn., 2017)", "plainTextFormattedCitation" : "(Bender &amp; Mayes, 2008; Savych &amp; Marchyshyn., 2017)", "previouslyFormattedCitation" : "(Bender &amp; Mayes, 2008; Savych &amp; Marchyshyn., 2017)"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(Bender &amp; Mayes, 2008; Savych &amp; Marchyshyn., 2017)</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Resistensi insulin menyebabkan </w:t>
      </w:r>
      <w:r w:rsidRPr="00295A79">
        <w:rPr>
          <w:rFonts w:ascii="Cambria" w:hAnsi="Cambria" w:cstheme="minorHAnsi"/>
          <w:i/>
          <w:iCs/>
          <w:lang w:val="id-ID"/>
        </w:rPr>
        <w:t xml:space="preserve">Hormone Sensitive Lipase </w:t>
      </w:r>
      <w:r w:rsidRPr="00295A79">
        <w:rPr>
          <w:rFonts w:ascii="Cambria" w:hAnsi="Cambria" w:cstheme="minorHAnsi"/>
          <w:lang w:val="id-ID"/>
        </w:rPr>
        <w:t>(HSL) aktif sehingga meningkatkan lipolisis trigliserida di jaringan adiposa untuk memenuhi kebutuhan energi melalui glukoneogenesis. Keadaan ini menyebabkan asam lemak bebas berlebih yang kemudian digunakan sebagai bahan baku pembentukan trigliserida</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"Darmono", "given" : "", "non-dropping-particle" : "", "parse-names" : false, "suffix" : "" }, { "dropping-particle" : "", "family" : "Suhartono", "given" : "Tony", "non-dropping-particle" : "", "parse-names" : false, "suffix" : "" }, { "dropping-particle" : "", "family" : "Tjokorda", "given" : "", "non-dropping-particle" : "", "parse-names" : false, "suffix" : "" } ], "id" : "ITEM-1", "issued" : { "date-parts" : [ [ "2007" ] ] }, "publisher" : "Badan Penerbit Universitas Diponegoro", "publisher-place" : "Semarang", "title" : "Diabetes Mellitus Ditinjau dari Berbagai Aspek Penyakit Dalam.", "type" : "book" }, "uris" : [ "http://www.mendeley.com/documents/?uuid=58b3b6b6-cbd5-4785-8953-f7ec333b0f24" ] } ], "mendeley" : { "formattedCitation" : "(Darmono et al., 2007)", "plainTextFormattedCitation" : "(Darmono et al., 2007)", "previouslyFormattedCitation" : "(Darmono et al., 2007)"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(Darmono et al., 2007)</w:t>
      </w:r>
      <w:r w:rsidRPr="00295A79">
        <w:rPr>
          <w:rFonts w:ascii="Cambria" w:hAnsi="Cambria" w:cstheme="minorHAnsi"/>
          <w:lang w:val="id-ID"/>
        </w:rPr>
        <w:fldChar w:fldCharType="end"/>
      </w:r>
      <w:r>
        <w:rPr>
          <w:rFonts w:ascii="Cambria" w:hAnsi="Cambria" w:cstheme="minorHAnsi"/>
        </w:rPr>
        <w:t>.</w:t>
      </w:r>
    </w:p>
    <w:p w14:paraId="139D9FFD" w14:textId="77777777" w:rsidR="00AE2391" w:rsidRDefault="00AE2391" w:rsidP="00AE2391">
      <w:pPr>
        <w:spacing w:after="0" w:line="240" w:lineRule="auto"/>
        <w:ind w:firstLine="720"/>
        <w:jc w:val="both"/>
        <w:rPr>
          <w:rFonts w:ascii="Cambria" w:hAnsi="Cambria" w:cstheme="minorHAnsi"/>
          <w:lang w:val="id-ID"/>
        </w:rPr>
      </w:pPr>
      <w:r w:rsidRPr="00295A79">
        <w:rPr>
          <w:rFonts w:ascii="Cambria" w:hAnsi="Cambria" w:cstheme="minorHAnsi"/>
          <w:lang w:val="id-ID"/>
        </w:rPr>
        <w:t>Kelompok (P) mengalami penurunan kadar trigliserida sebesar 46,68 mg/dl. Penurunan kadar trigliserida dan kolesterol total pada kelompok (P) terjadi karena diberikan pakan yang mengandung tinggi serat dan antioksidan berupa tepung sorgum. Beberapa penelitian telah menunjukkan bahwa serat dapat menurunkan kadar kolesterol dan trigliserida darah secara signifikan</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"Khogare", "given" : "D.T", "non-dropping-particle" : "", "parse-names" : false, "suffix" : "" } ], "container-title" : "International Food Research Journal", "id" : "ITEM-1", "issue" : "1", "issued" : { "date-parts" : [ [ "2012" ] ] }, "page" : "297-302", "title" : "Effect of dietary fiber on blood lipid profile of selected respondent", "type" : "article-journal", "volume" : "19" }, "uris" : [ "http://www.mendeley.com/documents/?uuid=653544d9-fdb5-4828-b077-75b13338ea45" ] }, { "id" : "ITEM-2", "itemData" : { "DOI" : "10.1016/j.nutres.2011.03.012", "ISSN" : "02715317", "author" : [ { "dropping-particle" : "", "family" : "Reimer", "given" : "Raylene A.", "non-dropping-particle" : "", "parse-names" : false, "suffix" : "" }, { "dropping-particle" : "", "family" : "Grover", "given" : "Gary J.", "non-dropping-particle" : "", "parse-names" : false, "suffix" : "" }, { "dropping-particle" : "", "family" : "Koetzner", "given" : "Lee", "non-dropping-particle" : "", "parse-names" : false, "suffix" : "" }, { "dropping-particle" : "", "family" : "Gahler", "given" : "Roland J.", "non-dropping-particle" : "", "parse-names" : false, "suffix" : "" }, { "dropping-particle" : "", "family" : "Lyon", "given" : "Michael R.", "non-dropping-particle" : "", "parse-names" : false, "suffix" : "" }, { "dropping-particle" : "", "family" : "Wood", "given" : "Simon", "non-dropping-particle" : "", "parse-names" : false, "suffix" : "" } ], "container-title" : "Nutrition Research", "id" : "ITEM-2", "issue" : "4", "issued" : { "date-parts" : [ [ "2011", "4" ] ] }, "page" : "296-301", "title" : "The soluble fiber complex PolyGlycopleX lowers serum triglycerides and reduces hepatic steatosis in high-sucrose-fed rats", "type" : "article-journal", "volume" : "31" }, "uris" : [ "http://www.mendeley.com/documents/?uuid=bf77d97e-dd13-4cd8-a084-6fe4320317eb" ] }, { "id" : "ITEM-3", "itemData" : { "author" : [ { "dropping-particle" : "", "family" : "Piraloo", "given" : "Zeinab", "non-dropping-particle" : "", "parse-names" : false, "suffix" : "" }, { "dropping-particle" : "", "family" : "Forouhari", "given" : "Sedighe", "non-dropping-particle" : "", "parse-names" : false, "suffix" : "" }, { "dropping-particle" : "", "family" : "Ghaemi", "given" : "Seyede-Zahra", "non-dropping-particle" : "", "parse-names" : false, "suffix" : "" }, { "dropping-particle" : "", "family" : "Mohammadi", "given" : "Zahra", "non-dropping-particle" : "", "parse-names" : false, "suffix" : "" }, { "dropping-particle" : "", "family" : "Rostambeigy", "given" : "Parisa", "non-dropping-particle" : "", "parse-names" : false, "suffix" : "" }, { "dropping-particle" : "", "family" : "Piraloo", "given" : "Maryam", "non-dropping-particle" : "", "parse-names" : false, "suffix" : "" }, { "dropping-particle" : "", "family" : "Mahmudi", "given" : "Forugh", "non-dropping-particle" : "", "parse-names" : false, "suffix" : "" }, { "dropping-particle" : "", "family" : "Mohammadi", "given" : "Mostafa", "non-dropping-particle" : "", "parse-names" : false, "suffix" : "" } ], "container-title" : "IEJM", "id" : "ITEM-3", "issue" : "1", "issued" : { "date-parts" : [ [ "2014" ] ] }, "page" : "19-24", "title" : "The Effect of High Fiber Diet on Lipid Profile of Obese Young Girls : a Randomized Crossover Clinical Trial.", "type" : "article-journal", "volume" : "3" }, "uris" : [ "http://www.mendeley.com/documents/?uuid=7a4d62e8-b0e9-4a3c-856b-025605df5be5" ] } ], "mendeley" : { "formattedCitation" : "(Khogare, 2012; Piraloo et al., 2014; Reimer et al., 2011)", "plainTextFormattedCitation" : "(Khogare, 2012; Piraloo et al., 2014; Reimer et al., 2011)", "previouslyFormattedCitation" : "(Khogare, 2012; Piraloo et al., 2014; Reimer et al., 2011)"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(Khogare, 2012; Piraloo et al., 2014; Reimer et al., 2011)</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Hasil penelitian ini sejalan dengan peneltian di Beijing tahun 2013 mengenai pemberian pakan tinggi pati </w:t>
      </w:r>
      <w:r w:rsidRPr="00295A79">
        <w:rPr>
          <w:rFonts w:ascii="Cambria" w:hAnsi="Cambria" w:cstheme="minorHAnsi"/>
          <w:lang w:val="id-ID"/>
        </w:rPr>
        <w:lastRenderedPageBreak/>
        <w:t xml:space="preserve">resisten sorgum terhadap 60 ekor tikus </w:t>
      </w:r>
      <w:r w:rsidRPr="00295A79">
        <w:rPr>
          <w:rFonts w:ascii="Cambria" w:hAnsi="Cambria" w:cstheme="minorHAnsi"/>
          <w:i/>
          <w:iCs/>
          <w:lang w:val="id-ID"/>
        </w:rPr>
        <w:t>overweight</w:t>
      </w:r>
      <w:r w:rsidRPr="00295A79">
        <w:rPr>
          <w:rFonts w:ascii="Cambria" w:hAnsi="Cambria" w:cstheme="minorHAnsi"/>
          <w:lang w:val="id-ID"/>
        </w:rPr>
        <w:t xml:space="preserve"> dan obesitas. Tikus </w:t>
      </w:r>
      <w:r w:rsidRPr="00295A79">
        <w:rPr>
          <w:rFonts w:ascii="Cambria" w:hAnsi="Cambria" w:cstheme="minorHAnsi"/>
          <w:i/>
          <w:iCs/>
          <w:lang w:val="id-ID"/>
        </w:rPr>
        <w:t>overweight</w:t>
      </w:r>
      <w:r w:rsidRPr="00295A79">
        <w:rPr>
          <w:rFonts w:ascii="Cambria" w:hAnsi="Cambria" w:cstheme="minorHAnsi"/>
          <w:lang w:val="id-ID"/>
        </w:rPr>
        <w:t xml:space="preserve"> dan obesitas yang diberikan pakan tinggi pati resisten sorgum memiliki perubahan positif terhadap kadar lipid</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"10.1080/09540105.2013.876976", "ISSN" : "0954-0105", "author" : [ { "dropping-particle" : "", "family" : "Shen", "given" : "Rui-Ling", "non-dropping-particle" : "", "parse-names" : false, "suffix" : "" }, { "dropping-particle" : "", "family" : "Zhang", "given" : "Wen-Li", "non-dropping-particle" : "", "parse-names" : false, "suffix" : "" }, { "dropping-particle" : "", "family" : "Dong", "given" : "Ji-Lin", "non-dropping-particle" : "", "parse-names" : false, "suffix" : "" }, { "dropping-particle" : "", "family" : "Ren", "given" : "Gui-Xing", "non-dropping-particle" : "", "parse-names" : false, "suffix" : "" }, { "dropping-particle" : "", "family" : "Chen", "given" : "Ming", "non-dropping-particle" : "", "parse-names" : false, "suffix" : "" } ], "container-title" : "Food and Agricultural Immunology", "id" : "ITEM-1", "issue" : "1", "issued" : { "date-parts" : [ [ "2015", "1", "2" ] ] }, "page" : "120-130", "title" : "Sorghum resistant starch reduces adiposity in high-fat diet-induced overweight and obese rats via mechanisms involving adipokines and intestinal flora", "type" : "article-journal", "volume" : "26" }, "uris" : [ "http://www.mendeley.com/documents/?uuid=25dadd4e-899c-4d39-ae83-4dfe41d79e0c" ] } ], "mendeley" : { "formattedCitation" : "(Shen, Zhang, Dong, Ren, &amp; Chen, 2015)", "plainTextFormattedCitation" : "(Shen, Zhang, Dong, Ren, &amp; Chen, 2015)", "previouslyFormattedCitation" : "(Shen, Zhang, Dong, Ren, &amp; Chen, 2015)"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(Shen, Zhang, Dong, Ren, &amp; Chen, 2015)</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Hasil penelitian ini juga sejalan dengan hasil penelitian di Pakistan tahun 2016 mengenai pemberian ekstrak β-glukan sorgum terhadap kadar kolesterol plasma tikus yang diinduksi hiperkolesterolemia. Pemberian sorg</w:t>
      </w:r>
      <w:r w:rsidRPr="00295A79">
        <w:rPr>
          <w:rFonts w:ascii="Cambria" w:hAnsi="Cambria" w:cstheme="minorHAnsi"/>
          <w:i/>
          <w:iCs/>
          <w:lang w:val="id-ID"/>
        </w:rPr>
        <w:t xml:space="preserve">hum ß glucan feed </w:t>
      </w:r>
      <w:r w:rsidRPr="00295A79">
        <w:rPr>
          <w:rFonts w:ascii="Cambria" w:hAnsi="Cambria" w:cstheme="minorHAnsi"/>
          <w:lang w:val="id-ID"/>
        </w:rPr>
        <w:t>(SGF) yang mengandung ekstrak soluble ß-glucan dapat menurunkan kadar kolesterol total plasma, VLDL, LDL, dan trigliserida serta meningkatkan HDL</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"10.17582/journal.pjz/2017.49.5.1631.1637", "ISSN" : "00309923", "author" : [ { "dropping-particle" : "", "family" : "Hamid", "given" : "A", "non-dropping-particle" : "", "parse-names" : false, "suffix" : "" }, { "dropping-particle" : "", "family" : "Ilyas", "given" : "M", "non-dropping-particle" : "", "parse-names" : false, "suffix" : "" }, { "dropping-particle" : "", "family" : "Kalsoom", "given" : "S", "non-dropping-particle" : "", "parse-names" : false, "suffix" : "" } ], "container-title" : "Pakistan Journal of Zoology", "id" : "ITEM-1", "issue" : "5", "issued" : { "date-parts" : [ [ "2017", "8" ] ] }, "title" : "Effect of Wheat and Corn Bran and Barley and Sorghum \u03b2-Glucan Extracts on the Plasma Cholesterol Level of Dietary-Induced Hypercholesterolemic Rats", "type" : "article-journal", "volume" : "49" }, "uris" : [ "http://www.mendeley.com/documents/?uuid=316ff380-d088-49d2-a074-35e70e97be60" ] } ], "mendeley" : { "formattedCitation" : "(Hamid, Ilyas, &amp; Kalsoom, 2017)", "plainTextFormattedCitation" : "(Hamid, Ilyas, &amp; Kalsoom, 2017)", "previouslyFormattedCitation" : "(Hamid, Ilyas, &amp; Kalsoom, 2017)"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(Hamid, Ilyas, &amp; Kalsoom, 2017)</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w:t>
      </w:r>
    </w:p>
    <w:p w14:paraId="210F6303" w14:textId="77777777" w:rsidR="00AE2391" w:rsidRDefault="00AE2391" w:rsidP="00AE2391">
      <w:pPr>
        <w:spacing w:after="0" w:line="240" w:lineRule="auto"/>
        <w:ind w:firstLine="720"/>
        <w:jc w:val="both"/>
        <w:rPr>
          <w:rFonts w:ascii="Cambria" w:hAnsi="Cambria" w:cstheme="minorHAnsi"/>
          <w:lang w:val="id-ID"/>
        </w:rPr>
      </w:pPr>
    </w:p>
    <w:p w14:paraId="6656231C" w14:textId="77777777" w:rsidR="00AE2391" w:rsidRPr="004D1F42" w:rsidRDefault="00AE2391" w:rsidP="00AE2391">
      <w:pPr>
        <w:pStyle w:val="Caption"/>
        <w:spacing w:after="0"/>
        <w:jc w:val="both"/>
        <w:rPr>
          <w:rFonts w:ascii="Cambria" w:hAnsi="Cambria" w:cstheme="minorHAnsi"/>
          <w:b/>
          <w:bCs/>
          <w:i w:val="0"/>
          <w:iCs w:val="0"/>
          <w:color w:val="000000" w:themeColor="text1"/>
          <w:sz w:val="22"/>
          <w:szCs w:val="22"/>
          <w:lang w:val="id-ID"/>
        </w:rPr>
      </w:pPr>
      <w:r w:rsidRPr="004D1F42">
        <w:rPr>
          <w:rFonts w:ascii="Cambria" w:hAnsi="Cambria" w:cstheme="minorHAnsi"/>
          <w:b/>
          <w:bCs/>
          <w:i w:val="0"/>
          <w:iCs w:val="0"/>
          <w:color w:val="000000" w:themeColor="text1"/>
          <w:sz w:val="22"/>
          <w:szCs w:val="22"/>
          <w:lang w:val="id-ID"/>
        </w:rPr>
        <w:t xml:space="preserve">Tabel </w:t>
      </w:r>
      <w:r w:rsidRPr="004D1F42">
        <w:rPr>
          <w:rFonts w:ascii="Cambria" w:hAnsi="Cambria" w:cstheme="minorHAnsi"/>
          <w:b/>
          <w:bCs/>
          <w:i w:val="0"/>
          <w:iCs w:val="0"/>
          <w:color w:val="000000" w:themeColor="text1"/>
          <w:sz w:val="22"/>
          <w:szCs w:val="22"/>
          <w:lang w:val="id-ID"/>
        </w:rPr>
        <w:fldChar w:fldCharType="begin"/>
      </w:r>
      <w:r w:rsidRPr="004D1F42">
        <w:rPr>
          <w:rFonts w:ascii="Cambria" w:hAnsi="Cambria" w:cstheme="minorHAnsi"/>
          <w:b/>
          <w:bCs/>
          <w:i w:val="0"/>
          <w:iCs w:val="0"/>
          <w:color w:val="000000" w:themeColor="text1"/>
          <w:sz w:val="22"/>
          <w:szCs w:val="22"/>
          <w:lang w:val="id-ID"/>
        </w:rPr>
        <w:instrText xml:space="preserve"> SEQ Tabel \* ARABIC </w:instrText>
      </w:r>
      <w:r w:rsidRPr="004D1F42">
        <w:rPr>
          <w:rFonts w:ascii="Cambria" w:hAnsi="Cambria" w:cstheme="minorHAnsi"/>
          <w:b/>
          <w:bCs/>
          <w:i w:val="0"/>
          <w:iCs w:val="0"/>
          <w:color w:val="000000" w:themeColor="text1"/>
          <w:sz w:val="22"/>
          <w:szCs w:val="22"/>
          <w:lang w:val="id-ID"/>
        </w:rPr>
        <w:fldChar w:fldCharType="separate"/>
      </w:r>
      <w:r>
        <w:rPr>
          <w:rFonts w:ascii="Cambria" w:hAnsi="Cambria" w:cstheme="minorHAnsi"/>
          <w:b/>
          <w:bCs/>
          <w:i w:val="0"/>
          <w:iCs w:val="0"/>
          <w:noProof/>
          <w:color w:val="000000" w:themeColor="text1"/>
          <w:sz w:val="22"/>
          <w:szCs w:val="22"/>
          <w:lang w:val="id-ID"/>
        </w:rPr>
        <w:t>3</w:t>
      </w:r>
      <w:r w:rsidRPr="004D1F42">
        <w:rPr>
          <w:rFonts w:ascii="Cambria" w:hAnsi="Cambria" w:cstheme="minorHAnsi"/>
          <w:b/>
          <w:bCs/>
          <w:i w:val="0"/>
          <w:iCs w:val="0"/>
          <w:color w:val="000000" w:themeColor="text1"/>
          <w:sz w:val="22"/>
          <w:szCs w:val="22"/>
          <w:lang w:val="id-ID"/>
        </w:rPr>
        <w:fldChar w:fldCharType="end"/>
      </w:r>
      <w:r w:rsidRPr="004D1F42">
        <w:rPr>
          <w:rFonts w:ascii="Cambria" w:hAnsi="Cambria" w:cstheme="minorHAnsi"/>
          <w:b/>
          <w:bCs/>
          <w:i w:val="0"/>
          <w:iCs w:val="0"/>
          <w:color w:val="000000" w:themeColor="text1"/>
          <w:sz w:val="22"/>
          <w:szCs w:val="22"/>
          <w:lang w:val="id-ID"/>
        </w:rPr>
        <w:t xml:space="preserve">. </w:t>
      </w:r>
      <w:r w:rsidRPr="004D1F42">
        <w:rPr>
          <w:rFonts w:ascii="Cambria" w:hAnsi="Cambria" w:cstheme="minorHAnsi"/>
          <w:i w:val="0"/>
          <w:iCs w:val="0"/>
          <w:color w:val="000000" w:themeColor="text1"/>
          <w:sz w:val="22"/>
          <w:szCs w:val="22"/>
          <w:lang w:val="id-ID"/>
        </w:rPr>
        <w:t>Rerata Konsumsi Pakan Tikus Selama Intervensi</w:t>
      </w: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2126"/>
      </w:tblGrid>
      <w:tr w:rsidR="00AE2391" w:rsidRPr="004D1F42" w14:paraId="4FA60A62" w14:textId="77777777" w:rsidTr="00A933DB">
        <w:tc>
          <w:tcPr>
            <w:tcW w:w="2127" w:type="dxa"/>
            <w:tcBorders>
              <w:top w:val="single" w:sz="4" w:space="0" w:color="auto"/>
              <w:bottom w:val="single" w:sz="4" w:space="0" w:color="auto"/>
            </w:tcBorders>
          </w:tcPr>
          <w:p w14:paraId="118DCBC8" w14:textId="77777777" w:rsidR="00AE2391" w:rsidRPr="004D1F42" w:rsidRDefault="00AE2391" w:rsidP="00A933DB">
            <w:pPr>
              <w:jc w:val="center"/>
              <w:rPr>
                <w:rFonts w:ascii="Cambria" w:hAnsi="Cambria" w:cstheme="minorHAnsi"/>
                <w:color w:val="000000" w:themeColor="text1"/>
                <w:lang w:val="id-ID"/>
              </w:rPr>
            </w:pPr>
            <w:r w:rsidRPr="004D1F42">
              <w:rPr>
                <w:rFonts w:ascii="Cambria" w:hAnsi="Cambria" w:cstheme="minorHAnsi"/>
                <w:color w:val="000000" w:themeColor="text1"/>
                <w:lang w:val="id-ID"/>
              </w:rPr>
              <w:t>Kelompok</w:t>
            </w:r>
          </w:p>
        </w:tc>
        <w:tc>
          <w:tcPr>
            <w:tcW w:w="567" w:type="dxa"/>
            <w:tcBorders>
              <w:top w:val="single" w:sz="4" w:space="0" w:color="auto"/>
              <w:bottom w:val="single" w:sz="4" w:space="0" w:color="auto"/>
            </w:tcBorders>
          </w:tcPr>
          <w:p w14:paraId="07CF6CA2" w14:textId="77777777" w:rsidR="00AE2391" w:rsidRPr="004D1F42" w:rsidRDefault="00AE2391" w:rsidP="00A933DB">
            <w:pPr>
              <w:jc w:val="center"/>
              <w:rPr>
                <w:rFonts w:ascii="Cambria" w:hAnsi="Cambria" w:cstheme="minorHAnsi"/>
                <w:color w:val="000000" w:themeColor="text1"/>
                <w:lang w:val="id-ID"/>
              </w:rPr>
            </w:pPr>
            <w:r w:rsidRPr="004D1F42">
              <w:rPr>
                <w:rFonts w:ascii="Cambria" w:hAnsi="Cambria" w:cstheme="minorHAnsi"/>
                <w:color w:val="000000" w:themeColor="text1"/>
                <w:lang w:val="id-ID"/>
              </w:rPr>
              <w:t>n</w:t>
            </w:r>
          </w:p>
        </w:tc>
        <w:tc>
          <w:tcPr>
            <w:tcW w:w="2126" w:type="dxa"/>
            <w:tcBorders>
              <w:top w:val="single" w:sz="4" w:space="0" w:color="auto"/>
              <w:bottom w:val="single" w:sz="4" w:space="0" w:color="auto"/>
            </w:tcBorders>
          </w:tcPr>
          <w:p w14:paraId="3B874670" w14:textId="77777777" w:rsidR="00AE2391" w:rsidRPr="004D1F42" w:rsidRDefault="00AE2391" w:rsidP="00A933DB">
            <w:pPr>
              <w:pStyle w:val="Default"/>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Rerata ± SD (mg/dl)</w:t>
            </w:r>
          </w:p>
        </w:tc>
      </w:tr>
      <w:tr w:rsidR="00AE2391" w:rsidRPr="004D1F42" w14:paraId="546921A7" w14:textId="77777777" w:rsidTr="00A933DB">
        <w:tc>
          <w:tcPr>
            <w:tcW w:w="2127" w:type="dxa"/>
            <w:tcBorders>
              <w:top w:val="single" w:sz="4" w:space="0" w:color="auto"/>
            </w:tcBorders>
          </w:tcPr>
          <w:p w14:paraId="2FE92752" w14:textId="77777777" w:rsidR="00AE2391" w:rsidRPr="004D1F42" w:rsidRDefault="00AE2391" w:rsidP="00A933DB">
            <w:pPr>
              <w:pStyle w:val="Default"/>
              <w:jc w:val="both"/>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 xml:space="preserve">Kontrol negatif (K-) </w:t>
            </w:r>
          </w:p>
        </w:tc>
        <w:tc>
          <w:tcPr>
            <w:tcW w:w="567" w:type="dxa"/>
            <w:tcBorders>
              <w:top w:val="single" w:sz="4" w:space="0" w:color="auto"/>
            </w:tcBorders>
          </w:tcPr>
          <w:p w14:paraId="1E9646D7" w14:textId="77777777" w:rsidR="00AE2391" w:rsidRPr="004D1F42" w:rsidRDefault="00AE2391" w:rsidP="00A933DB">
            <w:pPr>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2126" w:type="dxa"/>
            <w:tcBorders>
              <w:top w:val="single" w:sz="4" w:space="0" w:color="auto"/>
            </w:tcBorders>
          </w:tcPr>
          <w:p w14:paraId="0628559D" w14:textId="77777777" w:rsidR="00AE2391" w:rsidRPr="004D1F42" w:rsidRDefault="00AE2391" w:rsidP="00A933DB">
            <w:pPr>
              <w:pStyle w:val="Default"/>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16,97 ± 0,28</w:t>
            </w:r>
            <w:r w:rsidRPr="004D1F42">
              <w:rPr>
                <w:rFonts w:ascii="Cambria" w:hAnsi="Cambria" w:cstheme="minorHAnsi"/>
                <w:color w:val="000000" w:themeColor="text1"/>
                <w:sz w:val="22"/>
                <w:szCs w:val="22"/>
                <w:vertAlign w:val="superscript"/>
                <w:lang w:val="id-ID"/>
              </w:rPr>
              <w:t>a</w:t>
            </w:r>
          </w:p>
        </w:tc>
      </w:tr>
      <w:tr w:rsidR="00AE2391" w:rsidRPr="004D1F42" w14:paraId="6D9A75E7" w14:textId="77777777" w:rsidTr="00A933DB">
        <w:tc>
          <w:tcPr>
            <w:tcW w:w="2127" w:type="dxa"/>
          </w:tcPr>
          <w:p w14:paraId="603CF7A8" w14:textId="77777777" w:rsidR="00AE2391" w:rsidRPr="004D1F42" w:rsidRDefault="00AE2391" w:rsidP="00A933DB">
            <w:pPr>
              <w:pStyle w:val="Default"/>
              <w:jc w:val="both"/>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 xml:space="preserve">Kontrol positif (K+) </w:t>
            </w:r>
          </w:p>
        </w:tc>
        <w:tc>
          <w:tcPr>
            <w:tcW w:w="567" w:type="dxa"/>
          </w:tcPr>
          <w:p w14:paraId="1DF5C8C4" w14:textId="77777777" w:rsidR="00AE2391" w:rsidRPr="004D1F42" w:rsidRDefault="00AE2391" w:rsidP="00A933DB">
            <w:pPr>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2126" w:type="dxa"/>
          </w:tcPr>
          <w:p w14:paraId="7923CDC8" w14:textId="77777777" w:rsidR="00AE2391" w:rsidRPr="004D1F42" w:rsidRDefault="00AE2391" w:rsidP="00A933DB">
            <w:pPr>
              <w:pStyle w:val="Default"/>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18,66 ± 0,14</w:t>
            </w:r>
            <w:r w:rsidRPr="004D1F42">
              <w:rPr>
                <w:rFonts w:ascii="Cambria" w:hAnsi="Cambria" w:cstheme="minorHAnsi"/>
                <w:color w:val="000000" w:themeColor="text1"/>
                <w:sz w:val="22"/>
                <w:szCs w:val="22"/>
                <w:vertAlign w:val="superscript"/>
                <w:lang w:val="id-ID"/>
              </w:rPr>
              <w:t>b</w:t>
            </w:r>
          </w:p>
        </w:tc>
      </w:tr>
      <w:tr w:rsidR="00AE2391" w:rsidRPr="004D1F42" w14:paraId="603AEF53" w14:textId="77777777" w:rsidTr="00A933DB">
        <w:tc>
          <w:tcPr>
            <w:tcW w:w="2127" w:type="dxa"/>
          </w:tcPr>
          <w:p w14:paraId="59AA0FAF" w14:textId="77777777" w:rsidR="00AE2391" w:rsidRPr="004D1F42" w:rsidRDefault="00AE2391" w:rsidP="00A933DB">
            <w:pPr>
              <w:pStyle w:val="Default"/>
              <w:jc w:val="both"/>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 xml:space="preserve">Perlakuan (P) </w:t>
            </w:r>
          </w:p>
        </w:tc>
        <w:tc>
          <w:tcPr>
            <w:tcW w:w="567" w:type="dxa"/>
          </w:tcPr>
          <w:p w14:paraId="6C2894A6" w14:textId="77777777" w:rsidR="00AE2391" w:rsidRPr="004D1F42" w:rsidRDefault="00AE2391" w:rsidP="00A933DB">
            <w:pPr>
              <w:jc w:val="center"/>
              <w:rPr>
                <w:rFonts w:ascii="Cambria" w:hAnsi="Cambria" w:cstheme="minorHAnsi"/>
                <w:color w:val="000000" w:themeColor="text1"/>
                <w:lang w:val="id-ID"/>
              </w:rPr>
            </w:pPr>
            <w:r w:rsidRPr="004D1F42">
              <w:rPr>
                <w:rFonts w:ascii="Cambria" w:hAnsi="Cambria" w:cstheme="minorHAnsi"/>
                <w:color w:val="000000" w:themeColor="text1"/>
                <w:lang w:val="id-ID"/>
              </w:rPr>
              <w:t>6</w:t>
            </w:r>
          </w:p>
        </w:tc>
        <w:tc>
          <w:tcPr>
            <w:tcW w:w="2126" w:type="dxa"/>
          </w:tcPr>
          <w:p w14:paraId="6BDB899B" w14:textId="77777777" w:rsidR="00AE2391" w:rsidRPr="004D1F42" w:rsidRDefault="00AE2391" w:rsidP="00A933DB">
            <w:pPr>
              <w:pStyle w:val="Default"/>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17,08 ± 0,24</w:t>
            </w:r>
            <w:r w:rsidRPr="004D1F42">
              <w:rPr>
                <w:rFonts w:ascii="Cambria" w:hAnsi="Cambria" w:cstheme="minorHAnsi"/>
                <w:color w:val="000000" w:themeColor="text1"/>
                <w:sz w:val="22"/>
                <w:szCs w:val="22"/>
                <w:vertAlign w:val="superscript"/>
                <w:lang w:val="id-ID"/>
              </w:rPr>
              <w:t>a</w:t>
            </w:r>
          </w:p>
        </w:tc>
      </w:tr>
      <w:tr w:rsidR="00AE2391" w:rsidRPr="004D1F42" w14:paraId="52C33625" w14:textId="77777777" w:rsidTr="00A933DB">
        <w:tc>
          <w:tcPr>
            <w:tcW w:w="2127" w:type="dxa"/>
            <w:tcBorders>
              <w:bottom w:val="single" w:sz="4" w:space="0" w:color="auto"/>
            </w:tcBorders>
          </w:tcPr>
          <w:p w14:paraId="4FFC3245" w14:textId="77777777" w:rsidR="00AE2391" w:rsidRPr="004D1F42" w:rsidRDefault="00AE2391" w:rsidP="00A933DB">
            <w:pPr>
              <w:jc w:val="both"/>
              <w:rPr>
                <w:rFonts w:ascii="Cambria" w:hAnsi="Cambria" w:cstheme="minorHAnsi"/>
                <w:color w:val="000000" w:themeColor="text1"/>
                <w:lang w:val="id-ID"/>
              </w:rPr>
            </w:pPr>
            <w:r w:rsidRPr="004D1F42">
              <w:rPr>
                <w:rFonts w:ascii="Cambria" w:hAnsi="Cambria" w:cstheme="minorHAnsi"/>
                <w:i/>
                <w:iCs/>
                <w:color w:val="000000" w:themeColor="text1"/>
                <w:lang w:val="id-ID"/>
              </w:rPr>
              <w:t>p</w:t>
            </w:r>
          </w:p>
        </w:tc>
        <w:tc>
          <w:tcPr>
            <w:tcW w:w="567" w:type="dxa"/>
            <w:tcBorders>
              <w:bottom w:val="single" w:sz="4" w:space="0" w:color="auto"/>
            </w:tcBorders>
          </w:tcPr>
          <w:p w14:paraId="19216938" w14:textId="77777777" w:rsidR="00AE2391" w:rsidRPr="004D1F42" w:rsidRDefault="00AE2391" w:rsidP="00A933DB">
            <w:pPr>
              <w:jc w:val="center"/>
              <w:rPr>
                <w:rFonts w:ascii="Cambria" w:hAnsi="Cambria" w:cstheme="minorHAnsi"/>
                <w:color w:val="000000" w:themeColor="text1"/>
                <w:lang w:val="id-ID"/>
              </w:rPr>
            </w:pPr>
          </w:p>
        </w:tc>
        <w:tc>
          <w:tcPr>
            <w:tcW w:w="2126" w:type="dxa"/>
            <w:tcBorders>
              <w:bottom w:val="single" w:sz="4" w:space="0" w:color="auto"/>
            </w:tcBorders>
          </w:tcPr>
          <w:p w14:paraId="31CE4F41" w14:textId="77777777" w:rsidR="00AE2391" w:rsidRPr="004D1F42" w:rsidRDefault="00AE2391" w:rsidP="00A933DB">
            <w:pPr>
              <w:pStyle w:val="Default"/>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r>
    </w:tbl>
    <w:p w14:paraId="260118DD" w14:textId="77777777" w:rsidR="00AE2391" w:rsidRDefault="00AE2391" w:rsidP="00AE2391">
      <w:pPr>
        <w:spacing w:after="0" w:line="240" w:lineRule="auto"/>
        <w:jc w:val="both"/>
        <w:rPr>
          <w:rFonts w:ascii="Cambria" w:hAnsi="Cambria" w:cstheme="minorHAnsi"/>
          <w:color w:val="000000" w:themeColor="text1"/>
          <w:lang w:val="id-ID"/>
        </w:rPr>
      </w:pPr>
      <w:r w:rsidRPr="004D1F42">
        <w:rPr>
          <w:rFonts w:ascii="Cambria" w:hAnsi="Cambria" w:cstheme="minorHAnsi"/>
          <w:color w:val="000000" w:themeColor="text1"/>
          <w:vertAlign w:val="superscript"/>
          <w:lang w:val="id-ID"/>
        </w:rPr>
        <w:t>1</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 xml:space="preserve">one way Anova, </w:t>
      </w:r>
      <w:r w:rsidRPr="004D1F42">
        <w:rPr>
          <w:rFonts w:ascii="Cambria" w:hAnsi="Cambria" w:cstheme="minorHAnsi"/>
          <w:color w:val="000000" w:themeColor="text1"/>
          <w:vertAlign w:val="superscript"/>
          <w:lang w:val="id-ID"/>
        </w:rPr>
        <w:t>a,b</w:t>
      </w:r>
      <w:r w:rsidRPr="004D1F42">
        <w:rPr>
          <w:rFonts w:ascii="Cambria" w:hAnsi="Cambria" w:cstheme="minorHAnsi"/>
          <w:color w:val="000000" w:themeColor="text1"/>
          <w:lang w:val="id-ID"/>
        </w:rPr>
        <w:t xml:space="preserve">Notasi berbeda pada kolom yang sama menunjukkan adanya perbedaan yang signifikan pada uji </w:t>
      </w:r>
      <w:r w:rsidRPr="004D1F42">
        <w:rPr>
          <w:rFonts w:ascii="Cambria" w:hAnsi="Cambria" w:cstheme="minorHAnsi"/>
          <w:i/>
          <w:iCs/>
          <w:color w:val="000000" w:themeColor="text1"/>
          <w:lang w:val="id-ID"/>
        </w:rPr>
        <w:t>Duncan</w:t>
      </w:r>
      <w:r w:rsidRPr="004D1F42">
        <w:rPr>
          <w:rFonts w:ascii="Cambria" w:hAnsi="Cambria" w:cstheme="minorHAnsi"/>
          <w:color w:val="000000" w:themeColor="text1"/>
          <w:lang w:val="id-ID"/>
        </w:rPr>
        <w:t>, *Signifikan (</w:t>
      </w:r>
      <w:r w:rsidRPr="004D1F42">
        <w:rPr>
          <w:rFonts w:ascii="Cambria" w:hAnsi="Cambria" w:cstheme="minorHAnsi"/>
          <w:i/>
          <w:iCs/>
          <w:color w:val="000000" w:themeColor="text1"/>
          <w:lang w:val="id-ID"/>
        </w:rPr>
        <w:t>p</w:t>
      </w:r>
      <w:r w:rsidRPr="004D1F42">
        <w:rPr>
          <w:rFonts w:ascii="Cambria" w:hAnsi="Cambria" w:cstheme="minorHAnsi"/>
          <w:color w:val="000000" w:themeColor="text1"/>
          <w:lang w:val="id-ID"/>
        </w:rPr>
        <w:t>&lt;0,05)</w:t>
      </w:r>
    </w:p>
    <w:p w14:paraId="13238D96" w14:textId="77777777" w:rsidR="00AE2391" w:rsidRPr="004D1F42" w:rsidRDefault="00AE2391" w:rsidP="00AE2391">
      <w:pPr>
        <w:spacing w:after="0" w:line="240" w:lineRule="auto"/>
        <w:jc w:val="both"/>
        <w:rPr>
          <w:rFonts w:ascii="Cambria" w:hAnsi="Cambria" w:cstheme="minorHAnsi"/>
          <w:sz w:val="28"/>
          <w:szCs w:val="28"/>
          <w:lang w:val="id-ID"/>
        </w:rPr>
      </w:pPr>
    </w:p>
    <w:p w14:paraId="55FB68EA" w14:textId="77777777" w:rsidR="00AE2391" w:rsidRPr="00295A79" w:rsidRDefault="00AE2391" w:rsidP="00AE2391">
      <w:pPr>
        <w:spacing w:after="0" w:line="240" w:lineRule="auto"/>
        <w:ind w:firstLine="720"/>
        <w:jc w:val="both"/>
        <w:rPr>
          <w:rFonts w:ascii="Cambria" w:hAnsi="Cambria" w:cstheme="minorHAnsi"/>
          <w:lang w:val="id-ID"/>
        </w:rPr>
      </w:pPr>
      <w:r w:rsidRPr="00295A79">
        <w:rPr>
          <w:rFonts w:ascii="Cambria" w:hAnsi="Cambria" w:cstheme="minorHAnsi"/>
          <w:lang w:val="id-ID"/>
        </w:rPr>
        <w:t>Serat pangan berfungsi mengikat asam empedu dan membentuk misel yang akan dikeluarkan melalui feses sehingga menurunkan kadar kolesterol darah</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"10.1021/jf0501847", "ISSN" : "0021-8561", "author" : [ { "dropping-particle" : "", "family" : "Dicko", "given" : "Mamoudou H.", "non-dropping-particle" : "", "parse-names" : false, "suffix" : "" }, { "dropping-particle" : "", "family" : "Gruppen", "given" : "Harry", "non-dropping-particle" : "", "parse-names" : false, "suffix" : "" }, { "dropping-particle" : "", "family" : "Traore", "given" : "Alfred S.", "non-dropping-particle" : "", "parse-names" : false, "suffix" : "" }, { "dropping-particle" : "", "family" : "Berkel", "given" : "Willem J. H.", "non-dropping-particle" : "van", "parse-names" : false, "suffix" : "" }, { "dropping-particle" : "", "family" : "Voragen", "given" : "Alphons G. J.", "non-dropping-particle" : "", "parse-names" : false, "suffix" : "" } ], "container-title" : "Journal of Agricultural and Food Chemistry", "id" : "ITEM-1", "issue" : "7", "issued" : { "date-parts" : [ [ "2005", "4" ] ] }, "page" : "2581-2588", "title" : "Evaluation of the Effect of Germination on Phenolic Compounds and Antioxidant Activities in Sorghum Varieties", "type" : "article-journal", "volume" : "53" }, "uris" : [ "http://www.mendeley.com/documents/?uuid=12e7c84c-5ceb-484c-bde7-715ad5c29d5e" ] } ], "mendeley" : { "formattedCitation" : "(Dicko, Gruppen, Traore, van Berkel, &amp; Voragen, 2005)", "plainTextFormattedCitation" : "(Dicko, Gruppen, Traore, van Berkel, &amp; Voragen, 2005)", "previouslyFormattedCitation" : "(Dicko, Gruppen, Traore, van Berkel, &amp; Voragen, 2005)"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(Dicko, Gruppen, Traore, van Berkel, &amp; Voragen, 2005)</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Serat larut air dapat memperlambat waktu pengosongan lambung dan meningkatkan ketebalan lapisan </w:t>
      </w:r>
    </w:p>
    <w:tbl>
      <w:tblPr>
        <w:tblStyle w:val="TableGrid"/>
        <w:tblpPr w:leftFromText="180" w:rightFromText="180" w:vertAnchor="text" w:horzAnchor="margin" w:tblpY="7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4"/>
      </w:tblGrid>
      <w:tr w:rsidR="00AE2391" w:rsidRPr="004D1F42" w14:paraId="6575BF99" w14:textId="77777777" w:rsidTr="00A933DB">
        <w:tc>
          <w:tcPr>
            <w:tcW w:w="9714" w:type="dxa"/>
          </w:tcPr>
          <w:p w14:paraId="28F4C668" w14:textId="77777777" w:rsidR="00AE2391" w:rsidRDefault="00AE2391" w:rsidP="00A933DB">
            <w:pPr>
              <w:pStyle w:val="Caption"/>
              <w:spacing w:after="0"/>
              <w:jc w:val="center"/>
              <w:rPr>
                <w:rFonts w:ascii="Cambria" w:hAnsi="Cambria" w:cstheme="minorHAnsi"/>
                <w:b/>
                <w:bCs/>
                <w:i w:val="0"/>
                <w:iCs w:val="0"/>
                <w:color w:val="000000" w:themeColor="text1"/>
                <w:sz w:val="22"/>
                <w:szCs w:val="22"/>
                <w:lang w:val="id-ID"/>
              </w:rPr>
            </w:pPr>
          </w:p>
          <w:p w14:paraId="516C3EC0" w14:textId="77777777" w:rsidR="00AE2391" w:rsidRPr="004D1F42" w:rsidRDefault="00AE2391" w:rsidP="00A933DB">
            <w:pPr>
              <w:pStyle w:val="Caption"/>
              <w:spacing w:after="0"/>
              <w:jc w:val="both"/>
              <w:rPr>
                <w:rFonts w:ascii="Cambria" w:hAnsi="Cambria" w:cstheme="minorHAnsi"/>
                <w:i w:val="0"/>
                <w:iCs w:val="0"/>
                <w:color w:val="000000" w:themeColor="text1"/>
                <w:sz w:val="22"/>
                <w:szCs w:val="22"/>
                <w:lang w:val="id-ID"/>
              </w:rPr>
            </w:pPr>
            <w:r w:rsidRPr="004D1F42">
              <w:rPr>
                <w:rFonts w:ascii="Cambria" w:hAnsi="Cambria" w:cstheme="minorHAnsi"/>
                <w:b/>
                <w:bCs/>
                <w:i w:val="0"/>
                <w:iCs w:val="0"/>
                <w:color w:val="000000" w:themeColor="text1"/>
                <w:sz w:val="22"/>
                <w:szCs w:val="22"/>
                <w:lang w:val="id-ID"/>
              </w:rPr>
              <w:t xml:space="preserve">Tabel 4. </w:t>
            </w:r>
            <w:r w:rsidRPr="004D1F42">
              <w:rPr>
                <w:rFonts w:ascii="Cambria" w:hAnsi="Cambria" w:cstheme="minorHAnsi"/>
                <w:i w:val="0"/>
                <w:iCs w:val="0"/>
                <w:color w:val="000000" w:themeColor="text1"/>
                <w:sz w:val="22"/>
                <w:szCs w:val="22"/>
                <w:lang w:val="id-ID"/>
              </w:rPr>
              <w:t>Kadar Kolesterol Total</w:t>
            </w:r>
            <w:r w:rsidRPr="004D1F42">
              <w:rPr>
                <w:rFonts w:ascii="Cambria" w:hAnsi="Cambria" w:cstheme="minorHAnsi"/>
                <w:i w:val="0"/>
                <w:iCs w:val="0"/>
                <w:color w:val="000000" w:themeColor="text1"/>
                <w:sz w:val="22"/>
                <w:szCs w:val="22"/>
              </w:rPr>
              <w:t xml:space="preserve">, </w:t>
            </w:r>
            <w:proofErr w:type="spellStart"/>
            <w:r w:rsidRPr="004D1F42">
              <w:rPr>
                <w:rFonts w:ascii="Cambria" w:hAnsi="Cambria" w:cstheme="minorHAnsi"/>
                <w:i w:val="0"/>
                <w:iCs w:val="0"/>
                <w:color w:val="000000" w:themeColor="text1"/>
                <w:sz w:val="22"/>
                <w:szCs w:val="22"/>
              </w:rPr>
              <w:t>Trigliserida</w:t>
            </w:r>
            <w:proofErr w:type="spellEnd"/>
            <w:r w:rsidRPr="004D1F42">
              <w:rPr>
                <w:rFonts w:ascii="Cambria" w:hAnsi="Cambria" w:cstheme="minorHAnsi"/>
                <w:i w:val="0"/>
                <w:iCs w:val="0"/>
                <w:color w:val="000000" w:themeColor="text1"/>
                <w:sz w:val="22"/>
                <w:szCs w:val="22"/>
              </w:rPr>
              <w:t>, HDL, LDL, dan IAP</w:t>
            </w:r>
            <w:r w:rsidRPr="004D1F42">
              <w:rPr>
                <w:rFonts w:ascii="Cambria" w:hAnsi="Cambria" w:cstheme="minorHAnsi"/>
                <w:i w:val="0"/>
                <w:iCs w:val="0"/>
                <w:color w:val="000000" w:themeColor="text1"/>
                <w:sz w:val="22"/>
                <w:szCs w:val="22"/>
                <w:lang w:val="id-ID"/>
              </w:rPr>
              <w:t xml:space="preserve"> Tikus Sebelum dan Setelah Intervensi</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2085"/>
              <w:gridCol w:w="1704"/>
              <w:gridCol w:w="1665"/>
              <w:gridCol w:w="1705"/>
              <w:gridCol w:w="1134"/>
            </w:tblGrid>
            <w:tr w:rsidR="00AE2391" w:rsidRPr="004D1F42" w14:paraId="3189C1EA" w14:textId="77777777" w:rsidTr="00A933DB">
              <w:tc>
                <w:tcPr>
                  <w:tcW w:w="1315" w:type="dxa"/>
                  <w:tcBorders>
                    <w:top w:val="single" w:sz="4" w:space="0" w:color="auto"/>
                    <w:bottom w:val="single" w:sz="4" w:space="0" w:color="auto"/>
                  </w:tcBorders>
                </w:tcPr>
                <w:p w14:paraId="40B023B7" w14:textId="77777777" w:rsidR="00AE2391" w:rsidRPr="004D1F42" w:rsidRDefault="00AE2391" w:rsidP="00375ADC">
                  <w:pPr>
                    <w:framePr w:hSpace="180" w:wrap="around" w:vAnchor="text" w:hAnchor="margin" w:y="79"/>
                    <w:jc w:val="center"/>
                    <w:rPr>
                      <w:rFonts w:ascii="Cambria" w:hAnsi="Cambria" w:cstheme="minorHAnsi"/>
                      <w:color w:val="000000" w:themeColor="text1"/>
                    </w:rPr>
                  </w:pPr>
                  <w:proofErr w:type="spellStart"/>
                  <w:r w:rsidRPr="004D1F42">
                    <w:rPr>
                      <w:rFonts w:ascii="Cambria" w:hAnsi="Cambria" w:cstheme="minorHAnsi"/>
                      <w:color w:val="000000" w:themeColor="text1"/>
                    </w:rPr>
                    <w:t>Variabel</w:t>
                  </w:r>
                  <w:proofErr w:type="spellEnd"/>
                </w:p>
              </w:tc>
              <w:tc>
                <w:tcPr>
                  <w:tcW w:w="2085" w:type="dxa"/>
                  <w:tcBorders>
                    <w:top w:val="single" w:sz="4" w:space="0" w:color="auto"/>
                    <w:bottom w:val="single" w:sz="4" w:space="0" w:color="auto"/>
                  </w:tcBorders>
                </w:tcPr>
                <w:p w14:paraId="405706C3"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bookmarkStart w:id="1" w:name="_Hlk34135794"/>
                  <w:r w:rsidRPr="004D1F42">
                    <w:rPr>
                      <w:rFonts w:ascii="Cambria" w:hAnsi="Cambria" w:cstheme="minorHAnsi"/>
                      <w:color w:val="000000" w:themeColor="text1"/>
                      <w:lang w:val="id-ID"/>
                    </w:rPr>
                    <w:t>Kelompok</w:t>
                  </w:r>
                </w:p>
              </w:tc>
              <w:tc>
                <w:tcPr>
                  <w:tcW w:w="1704" w:type="dxa"/>
                  <w:tcBorders>
                    <w:top w:val="single" w:sz="4" w:space="0" w:color="auto"/>
                    <w:bottom w:val="single" w:sz="4" w:space="0" w:color="auto"/>
                  </w:tcBorders>
                </w:tcPr>
                <w:p w14:paraId="65AB342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Sebelum</w:t>
                  </w:r>
                </w:p>
                <w:p w14:paraId="73FD1A7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Rerata ± SD (mg/dl)</w:t>
                  </w:r>
                </w:p>
              </w:tc>
              <w:tc>
                <w:tcPr>
                  <w:tcW w:w="1665" w:type="dxa"/>
                  <w:tcBorders>
                    <w:top w:val="single" w:sz="4" w:space="0" w:color="auto"/>
                    <w:bottom w:val="single" w:sz="4" w:space="0" w:color="auto"/>
                  </w:tcBorders>
                </w:tcPr>
                <w:p w14:paraId="4FEDB7C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Sesudah</w:t>
                  </w:r>
                </w:p>
                <w:p w14:paraId="6DAF1D49"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Rerata ± SD (mg/dl)</w:t>
                  </w:r>
                </w:p>
              </w:tc>
              <w:tc>
                <w:tcPr>
                  <w:tcW w:w="1705" w:type="dxa"/>
                  <w:tcBorders>
                    <w:top w:val="single" w:sz="4" w:space="0" w:color="auto"/>
                    <w:bottom w:val="single" w:sz="4" w:space="0" w:color="auto"/>
                  </w:tcBorders>
                </w:tcPr>
                <w:p w14:paraId="72035FDE"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Δ</w:t>
                  </w:r>
                </w:p>
                <w:p w14:paraId="0681CCA6"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c>
                <w:tcPr>
                  <w:tcW w:w="1134" w:type="dxa"/>
                  <w:tcBorders>
                    <w:top w:val="single" w:sz="4" w:space="0" w:color="auto"/>
                    <w:bottom w:val="single" w:sz="4" w:space="0" w:color="auto"/>
                  </w:tcBorders>
                </w:tcPr>
                <w:p w14:paraId="3C94BFAA" w14:textId="77777777" w:rsidR="00AE2391" w:rsidRPr="004D1F42" w:rsidRDefault="00AE2391" w:rsidP="00375ADC">
                  <w:pPr>
                    <w:framePr w:hSpace="180" w:wrap="around" w:vAnchor="text" w:hAnchor="margin" w:y="79"/>
                    <w:jc w:val="center"/>
                    <w:rPr>
                      <w:rFonts w:ascii="Cambria" w:hAnsi="Cambria" w:cstheme="minorHAnsi"/>
                      <w:i/>
                      <w:iCs/>
                      <w:color w:val="000000" w:themeColor="text1"/>
                      <w:vertAlign w:val="superscript"/>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2</w:t>
                  </w:r>
                </w:p>
              </w:tc>
            </w:tr>
            <w:tr w:rsidR="00AE2391" w:rsidRPr="004D1F42" w14:paraId="00C6D6A5" w14:textId="77777777" w:rsidTr="00A933DB">
              <w:tc>
                <w:tcPr>
                  <w:tcW w:w="1315" w:type="dxa"/>
                  <w:tcBorders>
                    <w:top w:val="single" w:sz="4" w:space="0" w:color="auto"/>
                  </w:tcBorders>
                </w:tcPr>
                <w:p w14:paraId="0CE0E9BB" w14:textId="77777777" w:rsidR="00AE2391" w:rsidRPr="004D1F42" w:rsidRDefault="00AE2391" w:rsidP="00375ADC">
                  <w:pPr>
                    <w:framePr w:hSpace="180" w:wrap="around" w:vAnchor="text" w:hAnchor="margin" w:y="79"/>
                    <w:jc w:val="both"/>
                    <w:rPr>
                      <w:rFonts w:ascii="Cambria" w:hAnsi="Cambria" w:cstheme="minorHAnsi"/>
                      <w:color w:val="000000" w:themeColor="text1"/>
                    </w:rPr>
                  </w:pPr>
                  <w:proofErr w:type="spellStart"/>
                  <w:r w:rsidRPr="004D1F42">
                    <w:rPr>
                      <w:rFonts w:ascii="Cambria" w:hAnsi="Cambria" w:cstheme="minorHAnsi"/>
                      <w:color w:val="000000" w:themeColor="text1"/>
                    </w:rPr>
                    <w:t>Kolesterol</w:t>
                  </w:r>
                  <w:proofErr w:type="spellEnd"/>
                  <w:r w:rsidRPr="004D1F42">
                    <w:rPr>
                      <w:rFonts w:ascii="Cambria" w:hAnsi="Cambria" w:cstheme="minorHAnsi"/>
                      <w:color w:val="000000" w:themeColor="text1"/>
                    </w:rPr>
                    <w:t xml:space="preserve"> total</w:t>
                  </w:r>
                </w:p>
              </w:tc>
              <w:tc>
                <w:tcPr>
                  <w:tcW w:w="2085" w:type="dxa"/>
                  <w:tcBorders>
                    <w:top w:val="single" w:sz="4" w:space="0" w:color="auto"/>
                  </w:tcBorders>
                </w:tcPr>
                <w:p w14:paraId="2B73557F" w14:textId="77777777" w:rsidR="00AE2391" w:rsidRPr="004D1F42" w:rsidRDefault="00AE2391" w:rsidP="00375ADC">
                  <w:pPr>
                    <w:framePr w:hSpace="180" w:wrap="around" w:vAnchor="text" w:hAnchor="margin" w:y="79"/>
                    <w:jc w:val="both"/>
                    <w:rPr>
                      <w:rFonts w:ascii="Cambria" w:hAnsi="Cambria" w:cstheme="minorHAnsi"/>
                      <w:color w:val="000000" w:themeColor="text1"/>
                      <w:lang w:val="id-ID"/>
                    </w:rPr>
                  </w:pPr>
                  <w:r w:rsidRPr="004D1F42">
                    <w:rPr>
                      <w:rFonts w:ascii="Cambria" w:hAnsi="Cambria" w:cstheme="minorHAnsi"/>
                      <w:color w:val="000000" w:themeColor="text1"/>
                      <w:lang w:val="id-ID"/>
                    </w:rPr>
                    <w:t xml:space="preserve">Kontrol negatif (K-) </w:t>
                  </w:r>
                </w:p>
              </w:tc>
              <w:tc>
                <w:tcPr>
                  <w:tcW w:w="1704" w:type="dxa"/>
                  <w:tcBorders>
                    <w:top w:val="single" w:sz="4" w:space="0" w:color="auto"/>
                  </w:tcBorders>
                </w:tcPr>
                <w:p w14:paraId="02A3A336"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78,22 ± 3,21</w:t>
                  </w:r>
                  <w:r w:rsidRPr="004D1F42">
                    <w:rPr>
                      <w:rFonts w:ascii="Cambria" w:hAnsi="Cambria" w:cstheme="minorHAnsi"/>
                      <w:color w:val="000000" w:themeColor="text1"/>
                      <w:sz w:val="22"/>
                      <w:szCs w:val="22"/>
                      <w:vertAlign w:val="superscript"/>
                      <w:lang w:val="id-ID"/>
                    </w:rPr>
                    <w:t>a</w:t>
                  </w:r>
                </w:p>
              </w:tc>
              <w:tc>
                <w:tcPr>
                  <w:tcW w:w="1665" w:type="dxa"/>
                  <w:tcBorders>
                    <w:top w:val="single" w:sz="4" w:space="0" w:color="auto"/>
                  </w:tcBorders>
                </w:tcPr>
                <w:p w14:paraId="5AB8F953"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80,03 ± 2,92</w:t>
                  </w:r>
                  <w:r w:rsidRPr="004D1F42">
                    <w:rPr>
                      <w:rFonts w:ascii="Cambria" w:hAnsi="Cambria" w:cstheme="minorHAnsi"/>
                      <w:color w:val="000000" w:themeColor="text1"/>
                      <w:sz w:val="22"/>
                      <w:szCs w:val="22"/>
                      <w:vertAlign w:val="superscript"/>
                      <w:lang w:val="id-ID"/>
                    </w:rPr>
                    <w:t>a</w:t>
                  </w:r>
                </w:p>
              </w:tc>
              <w:tc>
                <w:tcPr>
                  <w:tcW w:w="1705" w:type="dxa"/>
                  <w:tcBorders>
                    <w:top w:val="single" w:sz="4" w:space="0" w:color="auto"/>
                  </w:tcBorders>
                </w:tcPr>
                <w:p w14:paraId="0541D387"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1,80 ± 1,09</w:t>
                  </w:r>
                  <w:r w:rsidRPr="004D1F42">
                    <w:rPr>
                      <w:rFonts w:ascii="Cambria" w:hAnsi="Cambria" w:cstheme="minorHAnsi"/>
                      <w:color w:val="000000" w:themeColor="text1"/>
                      <w:sz w:val="22"/>
                      <w:szCs w:val="22"/>
                      <w:vertAlign w:val="superscript"/>
                      <w:lang w:val="id-ID"/>
                    </w:rPr>
                    <w:t>a</w:t>
                  </w:r>
                </w:p>
              </w:tc>
              <w:tc>
                <w:tcPr>
                  <w:tcW w:w="1134" w:type="dxa"/>
                  <w:tcBorders>
                    <w:top w:val="single" w:sz="4" w:space="0" w:color="auto"/>
                  </w:tcBorders>
                </w:tcPr>
                <w:p w14:paraId="495C9B83"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0,010</w:t>
                  </w:r>
                  <w:r w:rsidRPr="004D1F42">
                    <w:rPr>
                      <w:rFonts w:ascii="Cambria" w:hAnsi="Cambria" w:cstheme="minorHAnsi"/>
                      <w:color w:val="000000" w:themeColor="text1"/>
                      <w:sz w:val="22"/>
                      <w:szCs w:val="22"/>
                      <w:vertAlign w:val="superscript"/>
                      <w:lang w:val="en-US"/>
                    </w:rPr>
                    <w:t>2</w:t>
                  </w:r>
                  <w:r w:rsidRPr="004D1F42">
                    <w:rPr>
                      <w:rFonts w:ascii="Cambria" w:hAnsi="Cambria" w:cstheme="minorHAnsi"/>
                      <w:color w:val="000000" w:themeColor="text1"/>
                      <w:sz w:val="22"/>
                      <w:szCs w:val="22"/>
                      <w:vertAlign w:val="superscript"/>
                      <w:lang w:val="id-ID"/>
                    </w:rPr>
                    <w:t>*</w:t>
                  </w:r>
                </w:p>
              </w:tc>
            </w:tr>
            <w:tr w:rsidR="00AE2391" w:rsidRPr="004D1F42" w14:paraId="58D28C5A" w14:textId="77777777" w:rsidTr="00A933DB">
              <w:tc>
                <w:tcPr>
                  <w:tcW w:w="1315" w:type="dxa"/>
                </w:tcPr>
                <w:p w14:paraId="67253A8D" w14:textId="77777777" w:rsidR="00AE2391" w:rsidRPr="004D1F42" w:rsidRDefault="00AE2391" w:rsidP="00375ADC">
                  <w:pPr>
                    <w:framePr w:hSpace="180" w:wrap="around" w:vAnchor="text" w:hAnchor="margin" w:y="79"/>
                    <w:jc w:val="both"/>
                    <w:rPr>
                      <w:rFonts w:ascii="Cambria" w:hAnsi="Cambria" w:cstheme="minorHAnsi"/>
                      <w:color w:val="000000" w:themeColor="text1"/>
                      <w:lang w:val="id-ID"/>
                    </w:rPr>
                  </w:pPr>
                </w:p>
              </w:tc>
              <w:tc>
                <w:tcPr>
                  <w:tcW w:w="2085" w:type="dxa"/>
                </w:tcPr>
                <w:p w14:paraId="1A441F6C" w14:textId="77777777" w:rsidR="00AE2391" w:rsidRPr="004D1F42" w:rsidRDefault="00AE2391" w:rsidP="00375ADC">
                  <w:pPr>
                    <w:framePr w:hSpace="180" w:wrap="around" w:vAnchor="text" w:hAnchor="margin" w:y="79"/>
                    <w:jc w:val="both"/>
                    <w:rPr>
                      <w:rFonts w:ascii="Cambria" w:hAnsi="Cambria" w:cstheme="minorHAnsi"/>
                      <w:color w:val="000000" w:themeColor="text1"/>
                      <w:lang w:val="id-ID"/>
                    </w:rPr>
                  </w:pPr>
                  <w:r w:rsidRPr="004D1F42">
                    <w:rPr>
                      <w:rFonts w:ascii="Cambria" w:hAnsi="Cambria" w:cstheme="minorHAnsi"/>
                      <w:color w:val="000000" w:themeColor="text1"/>
                      <w:lang w:val="id-ID"/>
                    </w:rPr>
                    <w:t xml:space="preserve">Kontrol positif (K+) </w:t>
                  </w:r>
                </w:p>
              </w:tc>
              <w:tc>
                <w:tcPr>
                  <w:tcW w:w="1704" w:type="dxa"/>
                </w:tcPr>
                <w:p w14:paraId="42763C44"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185,17 ± 9,76</w:t>
                  </w:r>
                  <w:r w:rsidRPr="004D1F42">
                    <w:rPr>
                      <w:rFonts w:ascii="Cambria" w:hAnsi="Cambria" w:cstheme="minorHAnsi"/>
                      <w:color w:val="000000" w:themeColor="text1"/>
                      <w:sz w:val="22"/>
                      <w:szCs w:val="22"/>
                      <w:vertAlign w:val="superscript"/>
                      <w:lang w:val="id-ID"/>
                    </w:rPr>
                    <w:t>a</w:t>
                  </w:r>
                </w:p>
              </w:tc>
              <w:tc>
                <w:tcPr>
                  <w:tcW w:w="1665" w:type="dxa"/>
                </w:tcPr>
                <w:p w14:paraId="4CF2C1D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188,73 ± 3,91</w:t>
                  </w:r>
                  <w:r w:rsidRPr="004D1F42">
                    <w:rPr>
                      <w:rFonts w:ascii="Cambria" w:hAnsi="Cambria" w:cstheme="minorHAnsi"/>
                      <w:color w:val="000000" w:themeColor="text1"/>
                      <w:sz w:val="22"/>
                      <w:szCs w:val="22"/>
                      <w:vertAlign w:val="superscript"/>
                      <w:lang w:val="id-ID"/>
                    </w:rPr>
                    <w:t>b</w:t>
                  </w:r>
                </w:p>
              </w:tc>
              <w:tc>
                <w:tcPr>
                  <w:tcW w:w="1705" w:type="dxa"/>
                </w:tcPr>
                <w:p w14:paraId="180407D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3,57 ± 6,49</w:t>
                  </w:r>
                  <w:r w:rsidRPr="004D1F42">
                    <w:rPr>
                      <w:rFonts w:ascii="Cambria" w:hAnsi="Cambria" w:cstheme="minorHAnsi"/>
                      <w:color w:val="000000" w:themeColor="text1"/>
                      <w:sz w:val="22"/>
                      <w:szCs w:val="22"/>
                      <w:vertAlign w:val="superscript"/>
                      <w:lang w:val="id-ID"/>
                    </w:rPr>
                    <w:t>a</w:t>
                  </w:r>
                </w:p>
              </w:tc>
              <w:tc>
                <w:tcPr>
                  <w:tcW w:w="1134" w:type="dxa"/>
                </w:tcPr>
                <w:p w14:paraId="6DAE752F"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0,046</w:t>
                  </w:r>
                  <w:r w:rsidRPr="004D1F42">
                    <w:rPr>
                      <w:rFonts w:ascii="Cambria" w:hAnsi="Cambria" w:cstheme="minorHAnsi"/>
                      <w:color w:val="000000" w:themeColor="text1"/>
                      <w:sz w:val="22"/>
                      <w:szCs w:val="22"/>
                      <w:vertAlign w:val="superscript"/>
                      <w:lang w:val="id-ID"/>
                    </w:rPr>
                    <w:t>4*</w:t>
                  </w:r>
                </w:p>
              </w:tc>
            </w:tr>
            <w:tr w:rsidR="00AE2391" w:rsidRPr="004D1F42" w14:paraId="6D5B955A" w14:textId="77777777" w:rsidTr="00A933DB">
              <w:tc>
                <w:tcPr>
                  <w:tcW w:w="1315" w:type="dxa"/>
                </w:tcPr>
                <w:p w14:paraId="205F3156" w14:textId="77777777" w:rsidR="00AE2391" w:rsidRPr="004D1F42" w:rsidRDefault="00AE2391" w:rsidP="00375ADC">
                  <w:pPr>
                    <w:framePr w:hSpace="180" w:wrap="around" w:vAnchor="text" w:hAnchor="margin" w:y="79"/>
                    <w:jc w:val="both"/>
                    <w:rPr>
                      <w:rFonts w:ascii="Cambria" w:hAnsi="Cambria" w:cstheme="minorHAnsi"/>
                      <w:color w:val="000000" w:themeColor="text1"/>
                      <w:lang w:val="id-ID"/>
                    </w:rPr>
                  </w:pPr>
                </w:p>
              </w:tc>
              <w:tc>
                <w:tcPr>
                  <w:tcW w:w="2085" w:type="dxa"/>
                </w:tcPr>
                <w:p w14:paraId="7EF48582" w14:textId="77777777" w:rsidR="00AE2391" w:rsidRPr="004D1F42" w:rsidRDefault="00AE2391" w:rsidP="00375ADC">
                  <w:pPr>
                    <w:framePr w:hSpace="180" w:wrap="around" w:vAnchor="text" w:hAnchor="margin" w:y="79"/>
                    <w:jc w:val="both"/>
                    <w:rPr>
                      <w:rFonts w:ascii="Cambria" w:hAnsi="Cambria" w:cstheme="minorHAnsi"/>
                      <w:color w:val="000000" w:themeColor="text1"/>
                      <w:lang w:val="id-ID"/>
                    </w:rPr>
                  </w:pPr>
                  <w:r w:rsidRPr="004D1F42">
                    <w:rPr>
                      <w:rFonts w:ascii="Cambria" w:hAnsi="Cambria" w:cstheme="minorHAnsi"/>
                      <w:color w:val="000000" w:themeColor="text1"/>
                      <w:lang w:val="id-ID"/>
                    </w:rPr>
                    <w:t xml:space="preserve">Perlakuan (P) </w:t>
                  </w:r>
                </w:p>
              </w:tc>
              <w:tc>
                <w:tcPr>
                  <w:tcW w:w="1704" w:type="dxa"/>
                </w:tcPr>
                <w:p w14:paraId="05B2C13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191,24 ± 3,78</w:t>
                  </w:r>
                  <w:r w:rsidRPr="004D1F42">
                    <w:rPr>
                      <w:rFonts w:ascii="Cambria" w:hAnsi="Cambria" w:cstheme="minorHAnsi"/>
                      <w:color w:val="000000" w:themeColor="text1"/>
                      <w:sz w:val="22"/>
                      <w:szCs w:val="22"/>
                      <w:vertAlign w:val="superscript"/>
                      <w:lang w:val="id-ID"/>
                    </w:rPr>
                    <w:t>b</w:t>
                  </w:r>
                </w:p>
              </w:tc>
              <w:tc>
                <w:tcPr>
                  <w:tcW w:w="1665" w:type="dxa"/>
                </w:tcPr>
                <w:p w14:paraId="35AA3D1C"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111,52 ± 3,94</w:t>
                  </w:r>
                  <w:r w:rsidRPr="004D1F42">
                    <w:rPr>
                      <w:rFonts w:ascii="Cambria" w:hAnsi="Cambria" w:cstheme="minorHAnsi"/>
                      <w:color w:val="000000" w:themeColor="text1"/>
                      <w:sz w:val="22"/>
                      <w:szCs w:val="22"/>
                      <w:vertAlign w:val="superscript"/>
                      <w:lang w:val="id-ID"/>
                    </w:rPr>
                    <w:t>c</w:t>
                  </w:r>
                </w:p>
              </w:tc>
              <w:tc>
                <w:tcPr>
                  <w:tcW w:w="1705" w:type="dxa"/>
                </w:tcPr>
                <w:p w14:paraId="5EF71983"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-79,72 ± 6,19</w:t>
                  </w:r>
                  <w:r w:rsidRPr="004D1F42">
                    <w:rPr>
                      <w:rFonts w:ascii="Cambria" w:hAnsi="Cambria" w:cstheme="minorHAnsi"/>
                      <w:color w:val="000000" w:themeColor="text1"/>
                      <w:sz w:val="22"/>
                      <w:szCs w:val="22"/>
                      <w:vertAlign w:val="superscript"/>
                      <w:lang w:val="id-ID"/>
                    </w:rPr>
                    <w:t>b</w:t>
                  </w:r>
                </w:p>
              </w:tc>
              <w:tc>
                <w:tcPr>
                  <w:tcW w:w="1134" w:type="dxa"/>
                </w:tcPr>
                <w:p w14:paraId="489A9539"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en-US"/>
                    </w:rPr>
                    <w:t>2</w:t>
                  </w:r>
                  <w:r w:rsidRPr="004D1F42">
                    <w:rPr>
                      <w:rFonts w:ascii="Cambria" w:hAnsi="Cambria" w:cstheme="minorHAnsi"/>
                      <w:color w:val="000000" w:themeColor="text1"/>
                      <w:sz w:val="22"/>
                      <w:szCs w:val="22"/>
                      <w:vertAlign w:val="superscript"/>
                      <w:lang w:val="id-ID"/>
                    </w:rPr>
                    <w:t>*</w:t>
                  </w:r>
                </w:p>
              </w:tc>
            </w:tr>
            <w:tr w:rsidR="00AE2391" w:rsidRPr="004D1F42" w14:paraId="6F9AF6F0" w14:textId="77777777" w:rsidTr="00A933DB">
              <w:tc>
                <w:tcPr>
                  <w:tcW w:w="1315" w:type="dxa"/>
                </w:tcPr>
                <w:p w14:paraId="6D7DA23E"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07C60ACE" w14:textId="77777777" w:rsidR="00AE2391" w:rsidRPr="004D1F42" w:rsidRDefault="00AE2391" w:rsidP="00375ADC">
                  <w:pPr>
                    <w:framePr w:hSpace="180" w:wrap="around" w:vAnchor="text" w:hAnchor="margin" w:y="79"/>
                    <w:jc w:val="both"/>
                    <w:rPr>
                      <w:rFonts w:ascii="Cambria" w:hAnsi="Cambria" w:cstheme="minorHAnsi"/>
                      <w:color w:val="000000" w:themeColor="text1"/>
                      <w:vertAlign w:val="superscript"/>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1</w:t>
                  </w:r>
                </w:p>
              </w:tc>
              <w:tc>
                <w:tcPr>
                  <w:tcW w:w="1704" w:type="dxa"/>
                </w:tcPr>
                <w:p w14:paraId="5399321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0,002</w:t>
                  </w:r>
                  <w:r w:rsidRPr="004D1F42">
                    <w:rPr>
                      <w:rFonts w:ascii="Cambria" w:hAnsi="Cambria" w:cstheme="minorHAnsi"/>
                      <w:color w:val="000000" w:themeColor="text1"/>
                      <w:sz w:val="22"/>
                      <w:szCs w:val="22"/>
                      <w:vertAlign w:val="superscript"/>
                      <w:lang w:val="en-US"/>
                    </w:rPr>
                    <w:t>3</w:t>
                  </w:r>
                  <w:r w:rsidRPr="004D1F42">
                    <w:rPr>
                      <w:rFonts w:ascii="Cambria" w:hAnsi="Cambria" w:cstheme="minorHAnsi"/>
                      <w:color w:val="000000" w:themeColor="text1"/>
                      <w:sz w:val="22"/>
                      <w:szCs w:val="22"/>
                      <w:vertAlign w:val="superscript"/>
                      <w:lang w:val="id-ID"/>
                    </w:rPr>
                    <w:t>*</w:t>
                  </w:r>
                </w:p>
              </w:tc>
              <w:tc>
                <w:tcPr>
                  <w:tcW w:w="1665" w:type="dxa"/>
                </w:tcPr>
                <w:p w14:paraId="3722769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en-US"/>
                    </w:rPr>
                    <w:t>1</w:t>
                  </w:r>
                  <w:r w:rsidRPr="004D1F42">
                    <w:rPr>
                      <w:rFonts w:ascii="Cambria" w:hAnsi="Cambria" w:cstheme="minorHAnsi"/>
                      <w:color w:val="000000" w:themeColor="text1"/>
                      <w:sz w:val="22"/>
                      <w:szCs w:val="22"/>
                      <w:vertAlign w:val="superscript"/>
                      <w:lang w:val="id-ID"/>
                    </w:rPr>
                    <w:t>*</w:t>
                  </w:r>
                </w:p>
              </w:tc>
              <w:tc>
                <w:tcPr>
                  <w:tcW w:w="1705" w:type="dxa"/>
                </w:tcPr>
                <w:p w14:paraId="402D46F7"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0,003</w:t>
                  </w:r>
                  <w:r w:rsidRPr="004D1F42">
                    <w:rPr>
                      <w:rFonts w:ascii="Cambria" w:hAnsi="Cambria" w:cstheme="minorHAnsi"/>
                      <w:color w:val="000000" w:themeColor="text1"/>
                      <w:sz w:val="22"/>
                      <w:szCs w:val="22"/>
                      <w:vertAlign w:val="superscript"/>
                      <w:lang w:val="en-US"/>
                    </w:rPr>
                    <w:t>3</w:t>
                  </w:r>
                  <w:r w:rsidRPr="004D1F42">
                    <w:rPr>
                      <w:rFonts w:ascii="Cambria" w:hAnsi="Cambria" w:cstheme="minorHAnsi"/>
                      <w:color w:val="000000" w:themeColor="text1"/>
                      <w:sz w:val="22"/>
                      <w:szCs w:val="22"/>
                      <w:vertAlign w:val="superscript"/>
                      <w:lang w:val="id-ID"/>
                    </w:rPr>
                    <w:t>*</w:t>
                  </w:r>
                </w:p>
              </w:tc>
              <w:tc>
                <w:tcPr>
                  <w:tcW w:w="1134" w:type="dxa"/>
                </w:tcPr>
                <w:p w14:paraId="24085B15"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r>
            <w:tr w:rsidR="00AE2391" w:rsidRPr="004D1F42" w14:paraId="3DE54B65" w14:textId="77777777" w:rsidTr="00A933DB">
              <w:tc>
                <w:tcPr>
                  <w:tcW w:w="1315" w:type="dxa"/>
                </w:tcPr>
                <w:p w14:paraId="27004BE0" w14:textId="77777777" w:rsidR="00AE2391" w:rsidRPr="004D1F42" w:rsidRDefault="00AE2391" w:rsidP="00375ADC">
                  <w:pPr>
                    <w:framePr w:hSpace="180" w:wrap="around" w:vAnchor="text" w:hAnchor="margin" w:y="79"/>
                    <w:jc w:val="both"/>
                    <w:rPr>
                      <w:rFonts w:ascii="Cambria" w:hAnsi="Cambria" w:cstheme="minorHAnsi"/>
                      <w:color w:val="000000" w:themeColor="text1"/>
                    </w:rPr>
                  </w:pPr>
                  <w:proofErr w:type="spellStart"/>
                  <w:r w:rsidRPr="004D1F42">
                    <w:rPr>
                      <w:rFonts w:ascii="Cambria" w:hAnsi="Cambria" w:cstheme="minorHAnsi"/>
                      <w:color w:val="000000" w:themeColor="text1"/>
                    </w:rPr>
                    <w:t>Trigliserida</w:t>
                  </w:r>
                  <w:proofErr w:type="spellEnd"/>
                  <w:r w:rsidRPr="004D1F42">
                    <w:rPr>
                      <w:rFonts w:ascii="Cambria" w:hAnsi="Cambria" w:cstheme="minorHAnsi"/>
                      <w:color w:val="000000" w:themeColor="text1"/>
                    </w:rPr>
                    <w:t xml:space="preserve"> </w:t>
                  </w:r>
                </w:p>
              </w:tc>
              <w:tc>
                <w:tcPr>
                  <w:tcW w:w="2085" w:type="dxa"/>
                </w:tcPr>
                <w:p w14:paraId="516B9F6C"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negatif (K-) </w:t>
                  </w:r>
                </w:p>
              </w:tc>
              <w:tc>
                <w:tcPr>
                  <w:tcW w:w="1704" w:type="dxa"/>
                </w:tcPr>
                <w:p w14:paraId="28CFE447"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69,8 ± 2,49</w:t>
                  </w:r>
                  <w:r w:rsidRPr="004D1F42">
                    <w:rPr>
                      <w:rFonts w:ascii="Cambria" w:hAnsi="Cambria" w:cstheme="minorHAnsi"/>
                      <w:color w:val="000000" w:themeColor="text1"/>
                      <w:sz w:val="22"/>
                      <w:szCs w:val="22"/>
                      <w:vertAlign w:val="superscript"/>
                      <w:lang w:val="en-US"/>
                    </w:rPr>
                    <w:t>a</w:t>
                  </w:r>
                </w:p>
              </w:tc>
              <w:tc>
                <w:tcPr>
                  <w:tcW w:w="1665" w:type="dxa"/>
                </w:tcPr>
                <w:p w14:paraId="4A753CC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70,9 ± 3,08</w:t>
                  </w:r>
                  <w:r w:rsidRPr="004D1F42">
                    <w:rPr>
                      <w:rFonts w:ascii="Cambria" w:hAnsi="Cambria" w:cstheme="minorHAnsi"/>
                      <w:color w:val="000000" w:themeColor="text1"/>
                      <w:sz w:val="22"/>
                      <w:szCs w:val="22"/>
                      <w:vertAlign w:val="superscript"/>
                      <w:lang w:val="id-ID"/>
                    </w:rPr>
                    <w:t>a</w:t>
                  </w:r>
                </w:p>
              </w:tc>
              <w:tc>
                <w:tcPr>
                  <w:tcW w:w="1705" w:type="dxa"/>
                </w:tcPr>
                <w:p w14:paraId="0EAA697B"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1,1 ± 0,62</w:t>
                  </w:r>
                  <w:r w:rsidRPr="004D1F42">
                    <w:rPr>
                      <w:rFonts w:ascii="Cambria" w:hAnsi="Cambria" w:cstheme="minorHAnsi"/>
                      <w:color w:val="000000" w:themeColor="text1"/>
                      <w:sz w:val="22"/>
                      <w:szCs w:val="22"/>
                      <w:vertAlign w:val="superscript"/>
                      <w:lang w:val="en-US"/>
                    </w:rPr>
                    <w:t>a</w:t>
                  </w:r>
                </w:p>
              </w:tc>
              <w:tc>
                <w:tcPr>
                  <w:tcW w:w="1134" w:type="dxa"/>
                </w:tcPr>
                <w:p w14:paraId="3A9D4177"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0,007</w:t>
                  </w:r>
                  <w:r w:rsidRPr="004D1F42">
                    <w:rPr>
                      <w:rFonts w:ascii="Cambria" w:hAnsi="Cambria" w:cstheme="minorHAnsi"/>
                      <w:color w:val="000000" w:themeColor="text1"/>
                      <w:vertAlign w:val="superscript"/>
                    </w:rPr>
                    <w:t>2</w:t>
                  </w:r>
                  <w:r w:rsidRPr="004D1F42">
                    <w:rPr>
                      <w:rFonts w:ascii="Cambria" w:hAnsi="Cambria" w:cstheme="minorHAnsi"/>
                      <w:color w:val="000000" w:themeColor="text1"/>
                      <w:vertAlign w:val="superscript"/>
                      <w:lang w:val="id-ID"/>
                    </w:rPr>
                    <w:t>*</w:t>
                  </w:r>
                </w:p>
              </w:tc>
            </w:tr>
            <w:tr w:rsidR="00AE2391" w:rsidRPr="004D1F42" w14:paraId="7AF834C6" w14:textId="77777777" w:rsidTr="00A933DB">
              <w:tc>
                <w:tcPr>
                  <w:tcW w:w="1315" w:type="dxa"/>
                </w:tcPr>
                <w:p w14:paraId="208A4161"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72FAD7FD"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positif (K+) </w:t>
                  </w:r>
                </w:p>
              </w:tc>
              <w:tc>
                <w:tcPr>
                  <w:tcW w:w="1704" w:type="dxa"/>
                </w:tcPr>
                <w:p w14:paraId="1C3CF621"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142,4 ± 4,34</w:t>
                  </w:r>
                  <w:r w:rsidRPr="004D1F42">
                    <w:rPr>
                      <w:rFonts w:ascii="Cambria" w:hAnsi="Cambria" w:cstheme="minorHAnsi"/>
                      <w:color w:val="000000" w:themeColor="text1"/>
                      <w:sz w:val="22"/>
                      <w:szCs w:val="22"/>
                      <w:vertAlign w:val="superscript"/>
                      <w:lang w:val="en-US"/>
                    </w:rPr>
                    <w:t>b</w:t>
                  </w:r>
                </w:p>
              </w:tc>
              <w:tc>
                <w:tcPr>
                  <w:tcW w:w="1665" w:type="dxa"/>
                </w:tcPr>
                <w:p w14:paraId="69BB1525"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144,3 ± 4,42</w:t>
                  </w:r>
                  <w:r w:rsidRPr="004D1F42">
                    <w:rPr>
                      <w:rFonts w:ascii="Cambria" w:hAnsi="Cambria" w:cstheme="minorHAnsi"/>
                      <w:color w:val="000000" w:themeColor="text1"/>
                      <w:sz w:val="22"/>
                      <w:szCs w:val="22"/>
                      <w:vertAlign w:val="superscript"/>
                      <w:lang w:val="id-ID"/>
                    </w:rPr>
                    <w:t>b</w:t>
                  </w:r>
                </w:p>
              </w:tc>
              <w:tc>
                <w:tcPr>
                  <w:tcW w:w="1705" w:type="dxa"/>
                </w:tcPr>
                <w:p w14:paraId="49271F6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1,9 ± 0,88</w:t>
                  </w:r>
                  <w:r w:rsidRPr="004D1F42">
                    <w:rPr>
                      <w:rFonts w:ascii="Cambria" w:hAnsi="Cambria" w:cstheme="minorHAnsi"/>
                      <w:color w:val="000000" w:themeColor="text1"/>
                      <w:sz w:val="22"/>
                      <w:szCs w:val="22"/>
                      <w:vertAlign w:val="superscript"/>
                      <w:lang w:val="en-US"/>
                    </w:rPr>
                    <w:t>a</w:t>
                  </w:r>
                </w:p>
              </w:tc>
              <w:tc>
                <w:tcPr>
                  <w:tcW w:w="1134" w:type="dxa"/>
                </w:tcPr>
                <w:p w14:paraId="7CEBBE80"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0,003</w:t>
                  </w:r>
                  <w:r w:rsidRPr="004D1F42">
                    <w:rPr>
                      <w:rFonts w:ascii="Cambria" w:hAnsi="Cambria" w:cstheme="minorHAnsi"/>
                      <w:color w:val="000000" w:themeColor="text1"/>
                      <w:vertAlign w:val="superscript"/>
                    </w:rPr>
                    <w:t>2</w:t>
                  </w:r>
                  <w:r w:rsidRPr="004D1F42">
                    <w:rPr>
                      <w:rFonts w:ascii="Cambria" w:hAnsi="Cambria" w:cstheme="minorHAnsi"/>
                      <w:color w:val="000000" w:themeColor="text1"/>
                      <w:vertAlign w:val="superscript"/>
                      <w:lang w:val="id-ID"/>
                    </w:rPr>
                    <w:t>*</w:t>
                  </w:r>
                </w:p>
              </w:tc>
            </w:tr>
            <w:tr w:rsidR="00AE2391" w:rsidRPr="004D1F42" w14:paraId="4A05FC00" w14:textId="77777777" w:rsidTr="00A933DB">
              <w:tc>
                <w:tcPr>
                  <w:tcW w:w="1315" w:type="dxa"/>
                </w:tcPr>
                <w:p w14:paraId="1F0D8EEF"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66313C2A"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Perlakuan (P) </w:t>
                  </w:r>
                </w:p>
              </w:tc>
              <w:tc>
                <w:tcPr>
                  <w:tcW w:w="1704" w:type="dxa"/>
                </w:tcPr>
                <w:p w14:paraId="09DE1331"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147,0 ± 5,41</w:t>
                  </w:r>
                  <w:r w:rsidRPr="004D1F42">
                    <w:rPr>
                      <w:rFonts w:ascii="Cambria" w:hAnsi="Cambria" w:cstheme="minorHAnsi"/>
                      <w:color w:val="000000" w:themeColor="text1"/>
                      <w:sz w:val="22"/>
                      <w:szCs w:val="22"/>
                      <w:vertAlign w:val="superscript"/>
                      <w:lang w:val="en-US"/>
                    </w:rPr>
                    <w:t>b</w:t>
                  </w:r>
                </w:p>
              </w:tc>
              <w:tc>
                <w:tcPr>
                  <w:tcW w:w="1665" w:type="dxa"/>
                </w:tcPr>
                <w:p w14:paraId="279302E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100,3 ± 1,69</w:t>
                  </w:r>
                  <w:r w:rsidRPr="004D1F42">
                    <w:rPr>
                      <w:rFonts w:ascii="Cambria" w:hAnsi="Cambria" w:cstheme="minorHAnsi"/>
                      <w:color w:val="000000" w:themeColor="text1"/>
                      <w:sz w:val="22"/>
                      <w:szCs w:val="22"/>
                      <w:vertAlign w:val="superscript"/>
                      <w:lang w:val="id-ID"/>
                    </w:rPr>
                    <w:t>c</w:t>
                  </w:r>
                </w:p>
              </w:tc>
              <w:tc>
                <w:tcPr>
                  <w:tcW w:w="1705" w:type="dxa"/>
                </w:tcPr>
                <w:p w14:paraId="4DE382C1"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-46,6 ± 5,78</w:t>
                  </w:r>
                  <w:r w:rsidRPr="004D1F42">
                    <w:rPr>
                      <w:rFonts w:ascii="Cambria" w:hAnsi="Cambria" w:cstheme="minorHAnsi"/>
                      <w:color w:val="000000" w:themeColor="text1"/>
                      <w:sz w:val="22"/>
                      <w:szCs w:val="22"/>
                      <w:vertAlign w:val="superscript"/>
                      <w:lang w:val="en-US"/>
                    </w:rPr>
                    <w:t>b</w:t>
                  </w:r>
                </w:p>
              </w:tc>
              <w:tc>
                <w:tcPr>
                  <w:tcW w:w="1134" w:type="dxa"/>
                </w:tcPr>
                <w:p w14:paraId="2C1C0559"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0,0284</w:t>
                  </w:r>
                  <w:r w:rsidRPr="004D1F42">
                    <w:rPr>
                      <w:rFonts w:ascii="Cambria" w:hAnsi="Cambria" w:cstheme="minorHAnsi"/>
                      <w:color w:val="000000" w:themeColor="text1"/>
                      <w:vertAlign w:val="superscript"/>
                      <w:lang w:val="id-ID"/>
                    </w:rPr>
                    <w:t>4*</w:t>
                  </w:r>
                </w:p>
              </w:tc>
            </w:tr>
            <w:tr w:rsidR="00AE2391" w:rsidRPr="004D1F42" w14:paraId="2D913E53" w14:textId="77777777" w:rsidTr="00A933DB">
              <w:tc>
                <w:tcPr>
                  <w:tcW w:w="1315" w:type="dxa"/>
                </w:tcPr>
                <w:p w14:paraId="62A16F94"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664269F7"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1</w:t>
                  </w:r>
                </w:p>
              </w:tc>
              <w:tc>
                <w:tcPr>
                  <w:tcW w:w="1704" w:type="dxa"/>
                </w:tcPr>
                <w:p w14:paraId="1CE80379"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0,002</w:t>
                  </w:r>
                  <w:r w:rsidRPr="004D1F42">
                    <w:rPr>
                      <w:rFonts w:ascii="Cambria" w:hAnsi="Cambria" w:cstheme="minorHAnsi"/>
                      <w:color w:val="000000" w:themeColor="text1"/>
                      <w:sz w:val="22"/>
                      <w:szCs w:val="22"/>
                      <w:vertAlign w:val="superscript"/>
                      <w:lang w:val="en-US"/>
                    </w:rPr>
                    <w:t>3</w:t>
                  </w:r>
                  <w:r w:rsidRPr="004D1F42">
                    <w:rPr>
                      <w:rFonts w:ascii="Cambria" w:hAnsi="Cambria" w:cstheme="minorHAnsi"/>
                      <w:color w:val="000000" w:themeColor="text1"/>
                      <w:sz w:val="22"/>
                      <w:szCs w:val="22"/>
                      <w:vertAlign w:val="superscript"/>
                      <w:lang w:val="id-ID"/>
                    </w:rPr>
                    <w:t>*</w:t>
                  </w:r>
                </w:p>
              </w:tc>
              <w:tc>
                <w:tcPr>
                  <w:tcW w:w="1665" w:type="dxa"/>
                </w:tcPr>
                <w:p w14:paraId="0BD9EB2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0,002</w:t>
                  </w:r>
                  <w:r w:rsidRPr="004D1F42">
                    <w:rPr>
                      <w:rFonts w:ascii="Cambria" w:hAnsi="Cambria" w:cstheme="minorHAnsi"/>
                      <w:color w:val="000000" w:themeColor="text1"/>
                      <w:sz w:val="22"/>
                      <w:szCs w:val="22"/>
                      <w:vertAlign w:val="superscript"/>
                      <w:lang w:val="id-ID"/>
                    </w:rPr>
                    <w:t>1</w:t>
                  </w:r>
                  <w:r w:rsidRPr="004D1F42">
                    <w:rPr>
                      <w:rFonts w:ascii="Cambria" w:hAnsi="Cambria" w:cstheme="minorHAnsi"/>
                      <w:color w:val="000000" w:themeColor="text1"/>
                      <w:sz w:val="22"/>
                      <w:szCs w:val="22"/>
                      <w:vertAlign w:val="superscript"/>
                      <w:lang w:val="en-US"/>
                    </w:rPr>
                    <w:t>*</w:t>
                  </w:r>
                </w:p>
              </w:tc>
              <w:tc>
                <w:tcPr>
                  <w:tcW w:w="1705" w:type="dxa"/>
                </w:tcPr>
                <w:p w14:paraId="421F523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0,002</w:t>
                  </w:r>
                  <w:r w:rsidRPr="004D1F42">
                    <w:rPr>
                      <w:rFonts w:ascii="Cambria" w:hAnsi="Cambria" w:cstheme="minorHAnsi"/>
                      <w:color w:val="000000" w:themeColor="text1"/>
                      <w:sz w:val="22"/>
                      <w:szCs w:val="22"/>
                      <w:vertAlign w:val="superscript"/>
                      <w:lang w:val="en-US"/>
                    </w:rPr>
                    <w:t>3</w:t>
                  </w:r>
                  <w:r w:rsidRPr="004D1F42">
                    <w:rPr>
                      <w:rFonts w:ascii="Cambria" w:hAnsi="Cambria" w:cstheme="minorHAnsi"/>
                      <w:color w:val="000000" w:themeColor="text1"/>
                      <w:sz w:val="22"/>
                      <w:szCs w:val="22"/>
                      <w:vertAlign w:val="superscript"/>
                      <w:lang w:val="id-ID"/>
                    </w:rPr>
                    <w:t>*</w:t>
                  </w:r>
                </w:p>
              </w:tc>
              <w:tc>
                <w:tcPr>
                  <w:tcW w:w="1134" w:type="dxa"/>
                </w:tcPr>
                <w:p w14:paraId="46A11AE3"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r>
            <w:tr w:rsidR="00AE2391" w:rsidRPr="004D1F42" w14:paraId="36AAF472" w14:textId="77777777" w:rsidTr="00A933DB">
              <w:tc>
                <w:tcPr>
                  <w:tcW w:w="1315" w:type="dxa"/>
                </w:tcPr>
                <w:p w14:paraId="3810B10C" w14:textId="77777777" w:rsidR="00AE2391" w:rsidRPr="004D1F42" w:rsidRDefault="00AE2391" w:rsidP="00375ADC">
                  <w:pPr>
                    <w:framePr w:hSpace="180" w:wrap="around" w:vAnchor="text" w:hAnchor="margin" w:y="79"/>
                    <w:jc w:val="both"/>
                    <w:rPr>
                      <w:rFonts w:ascii="Cambria" w:hAnsi="Cambria" w:cstheme="minorHAnsi"/>
                      <w:color w:val="000000" w:themeColor="text1"/>
                    </w:rPr>
                  </w:pPr>
                  <w:r w:rsidRPr="004D1F42">
                    <w:rPr>
                      <w:rFonts w:ascii="Cambria" w:hAnsi="Cambria" w:cstheme="minorHAnsi"/>
                      <w:color w:val="000000" w:themeColor="text1"/>
                    </w:rPr>
                    <w:t>HDL</w:t>
                  </w:r>
                </w:p>
              </w:tc>
              <w:tc>
                <w:tcPr>
                  <w:tcW w:w="2085" w:type="dxa"/>
                </w:tcPr>
                <w:p w14:paraId="7364EA5B"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negatif (K-) </w:t>
                  </w:r>
                </w:p>
              </w:tc>
              <w:tc>
                <w:tcPr>
                  <w:tcW w:w="1704" w:type="dxa"/>
                </w:tcPr>
                <w:p w14:paraId="017F8C77"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82,1 ± 1,79</w:t>
                  </w:r>
                  <w:r w:rsidRPr="004D1F42">
                    <w:rPr>
                      <w:rFonts w:ascii="Cambria" w:hAnsi="Cambria" w:cstheme="minorHAnsi"/>
                      <w:color w:val="000000" w:themeColor="text1"/>
                      <w:sz w:val="22"/>
                      <w:szCs w:val="22"/>
                      <w:vertAlign w:val="superscript"/>
                      <w:lang w:val="id-ID"/>
                    </w:rPr>
                    <w:t>c</w:t>
                  </w:r>
                </w:p>
              </w:tc>
              <w:tc>
                <w:tcPr>
                  <w:tcW w:w="1665" w:type="dxa"/>
                </w:tcPr>
                <w:p w14:paraId="153C57D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80,0 ± 1,55</w:t>
                  </w:r>
                  <w:r w:rsidRPr="004D1F42">
                    <w:rPr>
                      <w:rFonts w:ascii="Cambria" w:hAnsi="Cambria" w:cstheme="minorHAnsi"/>
                      <w:color w:val="000000" w:themeColor="text1"/>
                      <w:sz w:val="22"/>
                      <w:szCs w:val="22"/>
                      <w:vertAlign w:val="superscript"/>
                      <w:lang w:val="id-ID"/>
                    </w:rPr>
                    <w:t>c</w:t>
                  </w:r>
                </w:p>
              </w:tc>
              <w:tc>
                <w:tcPr>
                  <w:tcW w:w="1705" w:type="dxa"/>
                </w:tcPr>
                <w:p w14:paraId="4701DBAC"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2,1 ± 0,70</w:t>
                  </w:r>
                  <w:r w:rsidRPr="004D1F42">
                    <w:rPr>
                      <w:rFonts w:ascii="Cambria" w:hAnsi="Cambria" w:cstheme="minorHAnsi"/>
                      <w:color w:val="000000" w:themeColor="text1"/>
                      <w:sz w:val="22"/>
                      <w:szCs w:val="22"/>
                      <w:vertAlign w:val="superscript"/>
                      <w:lang w:val="en-US"/>
                    </w:rPr>
                    <w:t>a</w:t>
                  </w:r>
                </w:p>
              </w:tc>
              <w:tc>
                <w:tcPr>
                  <w:tcW w:w="1134" w:type="dxa"/>
                </w:tcPr>
                <w:p w14:paraId="2D55264C"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0,0012*</w:t>
                  </w:r>
                </w:p>
              </w:tc>
            </w:tr>
            <w:tr w:rsidR="00AE2391" w:rsidRPr="004D1F42" w14:paraId="3F343B72" w14:textId="77777777" w:rsidTr="00A933DB">
              <w:tc>
                <w:tcPr>
                  <w:tcW w:w="1315" w:type="dxa"/>
                </w:tcPr>
                <w:p w14:paraId="57709427"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14F074BC"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positif (K+) </w:t>
                  </w:r>
                </w:p>
              </w:tc>
              <w:tc>
                <w:tcPr>
                  <w:tcW w:w="1704" w:type="dxa"/>
                </w:tcPr>
                <w:p w14:paraId="67BB1E98"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25,5 ± 1,41</w:t>
                  </w:r>
                  <w:r w:rsidRPr="004D1F42">
                    <w:rPr>
                      <w:rFonts w:ascii="Cambria" w:hAnsi="Cambria" w:cstheme="minorHAnsi"/>
                      <w:color w:val="000000" w:themeColor="text1"/>
                      <w:sz w:val="22"/>
                      <w:szCs w:val="22"/>
                      <w:vertAlign w:val="superscript"/>
                      <w:lang w:val="id-ID"/>
                    </w:rPr>
                    <w:t>a</w:t>
                  </w:r>
                </w:p>
              </w:tc>
              <w:tc>
                <w:tcPr>
                  <w:tcW w:w="1665" w:type="dxa"/>
                </w:tcPr>
                <w:p w14:paraId="1091A64E"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22,3 ± 2,34</w:t>
                  </w:r>
                  <w:r w:rsidRPr="004D1F42">
                    <w:rPr>
                      <w:rFonts w:ascii="Cambria" w:hAnsi="Cambria" w:cstheme="minorHAnsi"/>
                      <w:color w:val="000000" w:themeColor="text1"/>
                      <w:sz w:val="22"/>
                      <w:szCs w:val="22"/>
                      <w:vertAlign w:val="superscript"/>
                      <w:lang w:val="id-ID"/>
                    </w:rPr>
                    <w:t>a</w:t>
                  </w:r>
                </w:p>
              </w:tc>
              <w:tc>
                <w:tcPr>
                  <w:tcW w:w="1705" w:type="dxa"/>
                </w:tcPr>
                <w:p w14:paraId="3EA5C631"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3,1 ± 1,71</w:t>
                  </w:r>
                  <w:r w:rsidRPr="004D1F42">
                    <w:rPr>
                      <w:rFonts w:ascii="Cambria" w:hAnsi="Cambria" w:cstheme="minorHAnsi"/>
                      <w:color w:val="000000" w:themeColor="text1"/>
                      <w:sz w:val="22"/>
                      <w:szCs w:val="22"/>
                      <w:vertAlign w:val="superscript"/>
                      <w:lang w:val="en-US"/>
                    </w:rPr>
                    <w:t>a</w:t>
                  </w:r>
                </w:p>
              </w:tc>
              <w:tc>
                <w:tcPr>
                  <w:tcW w:w="1134" w:type="dxa"/>
                </w:tcPr>
                <w:p w14:paraId="78B1270E"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0,0062*</w:t>
                  </w:r>
                </w:p>
              </w:tc>
            </w:tr>
            <w:tr w:rsidR="00AE2391" w:rsidRPr="004D1F42" w14:paraId="0B27A8B5" w14:textId="77777777" w:rsidTr="00A933DB">
              <w:tc>
                <w:tcPr>
                  <w:tcW w:w="1315" w:type="dxa"/>
                </w:tcPr>
                <w:p w14:paraId="51D96BE4"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1D0CDDC0"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Perlakuan (P) </w:t>
                  </w:r>
                </w:p>
              </w:tc>
              <w:tc>
                <w:tcPr>
                  <w:tcW w:w="1704" w:type="dxa"/>
                </w:tcPr>
                <w:p w14:paraId="11A3D303"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28,4 ± 1,45</w:t>
                  </w:r>
                  <w:r w:rsidRPr="004D1F42">
                    <w:rPr>
                      <w:rFonts w:ascii="Cambria" w:hAnsi="Cambria" w:cstheme="minorHAnsi"/>
                      <w:color w:val="000000" w:themeColor="text1"/>
                      <w:sz w:val="22"/>
                      <w:szCs w:val="22"/>
                      <w:vertAlign w:val="superscript"/>
                      <w:lang w:val="id-ID"/>
                    </w:rPr>
                    <w:t>b</w:t>
                  </w:r>
                </w:p>
              </w:tc>
              <w:tc>
                <w:tcPr>
                  <w:tcW w:w="1665" w:type="dxa"/>
                </w:tcPr>
                <w:p w14:paraId="54E2DFC6"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55,2 ± 2,64</w:t>
                  </w:r>
                  <w:r w:rsidRPr="004D1F42">
                    <w:rPr>
                      <w:rFonts w:ascii="Cambria" w:hAnsi="Cambria" w:cstheme="minorHAnsi"/>
                      <w:color w:val="000000" w:themeColor="text1"/>
                      <w:sz w:val="22"/>
                      <w:szCs w:val="22"/>
                      <w:vertAlign w:val="superscript"/>
                      <w:lang w:val="id-ID"/>
                    </w:rPr>
                    <w:t>b</w:t>
                  </w:r>
                </w:p>
              </w:tc>
              <w:tc>
                <w:tcPr>
                  <w:tcW w:w="1705" w:type="dxa"/>
                </w:tcPr>
                <w:p w14:paraId="1EAF85EC"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26,77 ± 2,38</w:t>
                  </w:r>
                  <w:r w:rsidRPr="004D1F42">
                    <w:rPr>
                      <w:rFonts w:ascii="Cambria" w:hAnsi="Cambria" w:cstheme="minorHAnsi"/>
                      <w:color w:val="000000" w:themeColor="text1"/>
                      <w:sz w:val="22"/>
                      <w:szCs w:val="22"/>
                      <w:vertAlign w:val="superscript"/>
                      <w:lang w:val="en-US"/>
                    </w:rPr>
                    <w:t>b</w:t>
                  </w:r>
                </w:p>
              </w:tc>
              <w:tc>
                <w:tcPr>
                  <w:tcW w:w="1134" w:type="dxa"/>
                </w:tcPr>
                <w:p w14:paraId="4EB18427"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0,0012*</w:t>
                  </w:r>
                </w:p>
              </w:tc>
            </w:tr>
            <w:tr w:rsidR="00AE2391" w:rsidRPr="004D1F42" w14:paraId="619FBACD" w14:textId="77777777" w:rsidTr="00A933DB">
              <w:tc>
                <w:tcPr>
                  <w:tcW w:w="1315" w:type="dxa"/>
                </w:tcPr>
                <w:p w14:paraId="0B7FE7BF"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44EA4282"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1</w:t>
                  </w:r>
                </w:p>
              </w:tc>
              <w:tc>
                <w:tcPr>
                  <w:tcW w:w="1704" w:type="dxa"/>
                </w:tcPr>
                <w:p w14:paraId="6A0650F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665" w:type="dxa"/>
                </w:tcPr>
                <w:p w14:paraId="0F5BED9E"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705" w:type="dxa"/>
                </w:tcPr>
                <w:p w14:paraId="54B7857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0,002</w:t>
                  </w:r>
                  <w:r w:rsidRPr="004D1F42">
                    <w:rPr>
                      <w:rFonts w:ascii="Cambria" w:hAnsi="Cambria" w:cstheme="minorHAnsi"/>
                      <w:color w:val="000000" w:themeColor="text1"/>
                      <w:sz w:val="22"/>
                      <w:szCs w:val="22"/>
                      <w:vertAlign w:val="superscript"/>
                      <w:lang w:val="id-ID"/>
                    </w:rPr>
                    <w:t>3*</w:t>
                  </w:r>
                </w:p>
              </w:tc>
              <w:tc>
                <w:tcPr>
                  <w:tcW w:w="1134" w:type="dxa"/>
                </w:tcPr>
                <w:p w14:paraId="1F88E401"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r>
            <w:tr w:rsidR="00AE2391" w:rsidRPr="004D1F42" w14:paraId="36C6A4BE" w14:textId="77777777" w:rsidTr="00A933DB">
              <w:tc>
                <w:tcPr>
                  <w:tcW w:w="1315" w:type="dxa"/>
                </w:tcPr>
                <w:p w14:paraId="47CE2C67" w14:textId="77777777" w:rsidR="00AE2391" w:rsidRPr="004D1F42" w:rsidRDefault="00AE2391" w:rsidP="00375ADC">
                  <w:pPr>
                    <w:framePr w:hSpace="180" w:wrap="around" w:vAnchor="text" w:hAnchor="margin" w:y="79"/>
                    <w:jc w:val="both"/>
                    <w:rPr>
                      <w:rFonts w:ascii="Cambria" w:hAnsi="Cambria" w:cstheme="minorHAnsi"/>
                      <w:color w:val="000000" w:themeColor="text1"/>
                    </w:rPr>
                  </w:pPr>
                  <w:r w:rsidRPr="004D1F42">
                    <w:rPr>
                      <w:rFonts w:ascii="Cambria" w:hAnsi="Cambria" w:cstheme="minorHAnsi"/>
                      <w:color w:val="000000" w:themeColor="text1"/>
                    </w:rPr>
                    <w:t>LDL</w:t>
                  </w:r>
                </w:p>
              </w:tc>
              <w:tc>
                <w:tcPr>
                  <w:tcW w:w="2085" w:type="dxa"/>
                </w:tcPr>
                <w:p w14:paraId="4B8A54C4"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negatif (K-) </w:t>
                  </w:r>
                </w:p>
              </w:tc>
              <w:tc>
                <w:tcPr>
                  <w:tcW w:w="1704" w:type="dxa"/>
                </w:tcPr>
                <w:p w14:paraId="14E2CBE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24,68 ± 2,08</w:t>
                  </w:r>
                  <w:r w:rsidRPr="004D1F42">
                    <w:rPr>
                      <w:rFonts w:ascii="Cambria" w:hAnsi="Cambria" w:cstheme="minorHAnsi"/>
                      <w:color w:val="000000" w:themeColor="text1"/>
                      <w:sz w:val="22"/>
                      <w:szCs w:val="22"/>
                      <w:vertAlign w:val="superscript"/>
                      <w:lang w:val="id-ID"/>
                    </w:rPr>
                    <w:t>a</w:t>
                  </w:r>
                </w:p>
              </w:tc>
              <w:tc>
                <w:tcPr>
                  <w:tcW w:w="1665" w:type="dxa"/>
                </w:tcPr>
                <w:p w14:paraId="5BB4470F"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25,79 ± 1,93</w:t>
                  </w:r>
                  <w:r w:rsidRPr="004D1F42">
                    <w:rPr>
                      <w:rFonts w:ascii="Cambria" w:hAnsi="Cambria" w:cstheme="minorHAnsi"/>
                      <w:color w:val="000000" w:themeColor="text1"/>
                      <w:sz w:val="22"/>
                      <w:szCs w:val="22"/>
                      <w:vertAlign w:val="superscript"/>
                      <w:lang w:val="id-ID"/>
                    </w:rPr>
                    <w:t>a</w:t>
                  </w:r>
                </w:p>
              </w:tc>
              <w:tc>
                <w:tcPr>
                  <w:tcW w:w="1705" w:type="dxa"/>
                </w:tcPr>
                <w:p w14:paraId="2E16FFD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2,14 ± 0,70</w:t>
                  </w:r>
                </w:p>
              </w:tc>
              <w:tc>
                <w:tcPr>
                  <w:tcW w:w="1134" w:type="dxa"/>
                </w:tcPr>
                <w:p w14:paraId="43628CF6"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5A1C8321" w14:textId="77777777" w:rsidTr="00A933DB">
              <w:tc>
                <w:tcPr>
                  <w:tcW w:w="1315" w:type="dxa"/>
                </w:tcPr>
                <w:p w14:paraId="7DAACBA9"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1C540CE8"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positif (K+) </w:t>
                  </w:r>
                </w:p>
              </w:tc>
              <w:tc>
                <w:tcPr>
                  <w:tcW w:w="1704" w:type="dxa"/>
                </w:tcPr>
                <w:p w14:paraId="5F7FD328"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77,39 ± 3,37</w:t>
                  </w:r>
                  <w:r w:rsidRPr="004D1F42">
                    <w:rPr>
                      <w:rFonts w:ascii="Cambria" w:hAnsi="Cambria" w:cstheme="minorHAnsi"/>
                      <w:color w:val="000000" w:themeColor="text1"/>
                      <w:sz w:val="22"/>
                      <w:szCs w:val="22"/>
                      <w:vertAlign w:val="superscript"/>
                      <w:lang w:val="id-ID"/>
                    </w:rPr>
                    <w:t>b</w:t>
                  </w:r>
                </w:p>
              </w:tc>
              <w:tc>
                <w:tcPr>
                  <w:tcW w:w="1665" w:type="dxa"/>
                </w:tcPr>
                <w:p w14:paraId="45D48C2F"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79,50 ± 3,08</w:t>
                  </w:r>
                  <w:r w:rsidRPr="004D1F42">
                    <w:rPr>
                      <w:rFonts w:ascii="Cambria" w:hAnsi="Cambria" w:cstheme="minorHAnsi"/>
                      <w:color w:val="000000" w:themeColor="text1"/>
                      <w:sz w:val="22"/>
                      <w:szCs w:val="22"/>
                      <w:vertAlign w:val="superscript"/>
                      <w:lang w:val="id-ID"/>
                    </w:rPr>
                    <w:t>b</w:t>
                  </w:r>
                </w:p>
              </w:tc>
              <w:tc>
                <w:tcPr>
                  <w:tcW w:w="1705" w:type="dxa"/>
                </w:tcPr>
                <w:p w14:paraId="0612BB13"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3.19 ± 1,71</w:t>
                  </w:r>
                </w:p>
              </w:tc>
              <w:tc>
                <w:tcPr>
                  <w:tcW w:w="1134" w:type="dxa"/>
                </w:tcPr>
                <w:p w14:paraId="179F6CC5"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0,027</w:t>
                  </w:r>
                  <w:r w:rsidRPr="004D1F42">
                    <w:rPr>
                      <w:rFonts w:ascii="Cambria" w:hAnsi="Cambria" w:cstheme="minorHAnsi"/>
                      <w:color w:val="000000" w:themeColor="text1"/>
                      <w:vertAlign w:val="superscript"/>
                      <w:lang w:val="id-ID"/>
                    </w:rPr>
                    <w:t>2*</w:t>
                  </w:r>
                </w:p>
              </w:tc>
            </w:tr>
            <w:tr w:rsidR="00AE2391" w:rsidRPr="004D1F42" w14:paraId="6E6729D9" w14:textId="77777777" w:rsidTr="00A933DB">
              <w:tc>
                <w:tcPr>
                  <w:tcW w:w="1315" w:type="dxa"/>
                </w:tcPr>
                <w:p w14:paraId="12DF605C"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1E8054F5"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Perlakuan (P) </w:t>
                  </w:r>
                </w:p>
              </w:tc>
              <w:tc>
                <w:tcPr>
                  <w:tcW w:w="1704" w:type="dxa"/>
                </w:tcPr>
                <w:p w14:paraId="3C4802F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77,27 ± 4,54</w:t>
                  </w:r>
                  <w:r w:rsidRPr="004D1F42">
                    <w:rPr>
                      <w:rFonts w:ascii="Cambria" w:hAnsi="Cambria" w:cstheme="minorHAnsi"/>
                      <w:color w:val="000000" w:themeColor="text1"/>
                      <w:sz w:val="22"/>
                      <w:szCs w:val="22"/>
                      <w:vertAlign w:val="superscript"/>
                      <w:lang w:val="id-ID"/>
                    </w:rPr>
                    <w:t>b</w:t>
                  </w:r>
                </w:p>
              </w:tc>
              <w:tc>
                <w:tcPr>
                  <w:tcW w:w="1665" w:type="dxa"/>
                </w:tcPr>
                <w:p w14:paraId="31A5730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43,81 ± 2,14</w:t>
                  </w:r>
                  <w:r w:rsidRPr="004D1F42">
                    <w:rPr>
                      <w:rFonts w:ascii="Cambria" w:hAnsi="Cambria" w:cstheme="minorHAnsi"/>
                      <w:color w:val="000000" w:themeColor="text1"/>
                      <w:sz w:val="22"/>
                      <w:szCs w:val="22"/>
                      <w:vertAlign w:val="superscript"/>
                      <w:lang w:val="id-ID"/>
                    </w:rPr>
                    <w:t>c</w:t>
                  </w:r>
                </w:p>
              </w:tc>
              <w:tc>
                <w:tcPr>
                  <w:tcW w:w="1705" w:type="dxa"/>
                </w:tcPr>
                <w:p w14:paraId="333B869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26,77 ± 2,38</w:t>
                  </w:r>
                </w:p>
              </w:tc>
              <w:tc>
                <w:tcPr>
                  <w:tcW w:w="1134" w:type="dxa"/>
                </w:tcPr>
                <w:p w14:paraId="0DA7835C"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2026608B" w14:textId="77777777" w:rsidTr="00A933DB">
              <w:tc>
                <w:tcPr>
                  <w:tcW w:w="1315" w:type="dxa"/>
                </w:tcPr>
                <w:p w14:paraId="06BD6A56"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2BA52C80"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1</w:t>
                  </w:r>
                </w:p>
              </w:tc>
              <w:tc>
                <w:tcPr>
                  <w:tcW w:w="1704" w:type="dxa"/>
                </w:tcPr>
                <w:p w14:paraId="7AA8FA5F"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665" w:type="dxa"/>
                </w:tcPr>
                <w:p w14:paraId="3F9A007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705" w:type="dxa"/>
                </w:tcPr>
                <w:p w14:paraId="12112CC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0,003</w:t>
                  </w:r>
                  <w:r w:rsidRPr="004D1F42">
                    <w:rPr>
                      <w:rFonts w:ascii="Cambria" w:hAnsi="Cambria" w:cstheme="minorHAnsi"/>
                      <w:color w:val="000000" w:themeColor="text1"/>
                      <w:sz w:val="22"/>
                      <w:szCs w:val="22"/>
                      <w:vertAlign w:val="superscript"/>
                      <w:lang w:val="id-ID"/>
                    </w:rPr>
                    <w:t>3,</w:t>
                  </w:r>
                  <w:r w:rsidRPr="004D1F42">
                    <w:rPr>
                      <w:rFonts w:ascii="Cambria" w:hAnsi="Cambria" w:cstheme="minorHAnsi"/>
                      <w:color w:val="000000" w:themeColor="text1"/>
                      <w:sz w:val="22"/>
                      <w:szCs w:val="22"/>
                      <w:vertAlign w:val="superscript"/>
                      <w:lang w:val="en-US"/>
                    </w:rPr>
                    <w:t>5</w:t>
                  </w:r>
                  <w:r w:rsidRPr="004D1F42">
                    <w:rPr>
                      <w:rFonts w:ascii="Cambria" w:hAnsi="Cambria" w:cstheme="minorHAnsi"/>
                      <w:color w:val="000000" w:themeColor="text1"/>
                      <w:sz w:val="22"/>
                      <w:szCs w:val="22"/>
                      <w:vertAlign w:val="superscript"/>
                      <w:lang w:val="id-ID"/>
                    </w:rPr>
                    <w:t>*</w:t>
                  </w:r>
                </w:p>
              </w:tc>
              <w:tc>
                <w:tcPr>
                  <w:tcW w:w="1134" w:type="dxa"/>
                </w:tcPr>
                <w:p w14:paraId="37F07E34"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r>
            <w:tr w:rsidR="00AE2391" w:rsidRPr="004D1F42" w14:paraId="4ED39D92" w14:textId="77777777" w:rsidTr="00A933DB">
              <w:tc>
                <w:tcPr>
                  <w:tcW w:w="1315" w:type="dxa"/>
                </w:tcPr>
                <w:p w14:paraId="7B526B31" w14:textId="77777777" w:rsidR="00AE2391" w:rsidRPr="004D1F42" w:rsidRDefault="00AE2391" w:rsidP="00375ADC">
                  <w:pPr>
                    <w:framePr w:hSpace="180" w:wrap="around" w:vAnchor="text" w:hAnchor="margin" w:y="79"/>
                    <w:jc w:val="both"/>
                    <w:rPr>
                      <w:rFonts w:ascii="Cambria" w:hAnsi="Cambria" w:cstheme="minorHAnsi"/>
                      <w:color w:val="000000" w:themeColor="text1"/>
                    </w:rPr>
                  </w:pPr>
                  <w:r w:rsidRPr="004D1F42">
                    <w:rPr>
                      <w:rFonts w:ascii="Cambria" w:hAnsi="Cambria" w:cstheme="minorHAnsi"/>
                      <w:color w:val="000000" w:themeColor="text1"/>
                    </w:rPr>
                    <w:t>IAP</w:t>
                  </w:r>
                </w:p>
              </w:tc>
              <w:tc>
                <w:tcPr>
                  <w:tcW w:w="2085" w:type="dxa"/>
                </w:tcPr>
                <w:p w14:paraId="23E72792"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negatif (K-) </w:t>
                  </w:r>
                </w:p>
              </w:tc>
              <w:tc>
                <w:tcPr>
                  <w:tcW w:w="1704" w:type="dxa"/>
                </w:tcPr>
                <w:p w14:paraId="75E5CDC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-0,07 ± 0,018</w:t>
                  </w:r>
                  <w:r w:rsidRPr="004D1F42">
                    <w:rPr>
                      <w:rFonts w:ascii="Cambria" w:hAnsi="Cambria" w:cstheme="minorHAnsi"/>
                      <w:color w:val="000000" w:themeColor="text1"/>
                      <w:sz w:val="22"/>
                      <w:szCs w:val="22"/>
                      <w:vertAlign w:val="superscript"/>
                      <w:lang w:val="id-ID"/>
                    </w:rPr>
                    <w:t>a</w:t>
                  </w:r>
                </w:p>
              </w:tc>
              <w:tc>
                <w:tcPr>
                  <w:tcW w:w="1665" w:type="dxa"/>
                </w:tcPr>
                <w:p w14:paraId="0C13240E"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-0,05 ± 0,021</w:t>
                  </w:r>
                  <w:r w:rsidRPr="004D1F42">
                    <w:rPr>
                      <w:rFonts w:ascii="Cambria" w:hAnsi="Cambria" w:cstheme="minorHAnsi"/>
                      <w:color w:val="000000" w:themeColor="text1"/>
                      <w:sz w:val="22"/>
                      <w:szCs w:val="22"/>
                      <w:vertAlign w:val="superscript"/>
                      <w:lang w:val="id-ID"/>
                    </w:rPr>
                    <w:t>a</w:t>
                  </w:r>
                </w:p>
              </w:tc>
              <w:tc>
                <w:tcPr>
                  <w:tcW w:w="1705" w:type="dxa"/>
                </w:tcPr>
                <w:p w14:paraId="555AF6BD"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0,02 ± 0,008</w:t>
                  </w:r>
                  <w:r w:rsidRPr="004D1F42">
                    <w:rPr>
                      <w:rFonts w:ascii="Cambria" w:hAnsi="Cambria" w:cstheme="minorHAnsi"/>
                      <w:color w:val="000000" w:themeColor="text1"/>
                      <w:sz w:val="22"/>
                      <w:szCs w:val="22"/>
                      <w:vertAlign w:val="superscript"/>
                      <w:lang w:val="en-US"/>
                    </w:rPr>
                    <w:t>a</w:t>
                  </w:r>
                </w:p>
              </w:tc>
              <w:tc>
                <w:tcPr>
                  <w:tcW w:w="1134" w:type="dxa"/>
                </w:tcPr>
                <w:p w14:paraId="1DB89FB5"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6927E7B5" w14:textId="77777777" w:rsidTr="00A933DB">
              <w:tc>
                <w:tcPr>
                  <w:tcW w:w="1315" w:type="dxa"/>
                </w:tcPr>
                <w:p w14:paraId="2750DA6F"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63D8997B"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Kontrol positif (K+) </w:t>
                  </w:r>
                </w:p>
              </w:tc>
              <w:tc>
                <w:tcPr>
                  <w:tcW w:w="1704" w:type="dxa"/>
                </w:tcPr>
                <w:p w14:paraId="0784F6A1"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0,74 ± 0,017</w:t>
                  </w:r>
                  <w:r w:rsidRPr="004D1F42">
                    <w:rPr>
                      <w:rFonts w:ascii="Cambria" w:hAnsi="Cambria" w:cstheme="minorHAnsi"/>
                      <w:color w:val="000000" w:themeColor="text1"/>
                      <w:sz w:val="22"/>
                      <w:szCs w:val="22"/>
                      <w:vertAlign w:val="superscript"/>
                      <w:lang w:val="id-ID"/>
                    </w:rPr>
                    <w:t>c</w:t>
                  </w:r>
                </w:p>
              </w:tc>
              <w:tc>
                <w:tcPr>
                  <w:tcW w:w="1665" w:type="dxa"/>
                </w:tcPr>
                <w:p w14:paraId="12F62408"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0,81 ± 0,036</w:t>
                  </w:r>
                  <w:r w:rsidRPr="004D1F42">
                    <w:rPr>
                      <w:rFonts w:ascii="Cambria" w:hAnsi="Cambria" w:cstheme="minorHAnsi"/>
                      <w:color w:val="000000" w:themeColor="text1"/>
                      <w:sz w:val="22"/>
                      <w:szCs w:val="22"/>
                      <w:vertAlign w:val="superscript"/>
                      <w:lang w:val="id-ID"/>
                    </w:rPr>
                    <w:t>c</w:t>
                  </w:r>
                </w:p>
              </w:tc>
              <w:tc>
                <w:tcPr>
                  <w:tcW w:w="1705" w:type="dxa"/>
                </w:tcPr>
                <w:p w14:paraId="07D0FA76"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0,06 ± 0,033</w:t>
                  </w:r>
                  <w:r w:rsidRPr="004D1F42">
                    <w:rPr>
                      <w:rFonts w:ascii="Cambria" w:hAnsi="Cambria" w:cstheme="minorHAnsi"/>
                      <w:color w:val="000000" w:themeColor="text1"/>
                      <w:sz w:val="22"/>
                      <w:szCs w:val="22"/>
                      <w:vertAlign w:val="superscript"/>
                      <w:lang w:val="en-US"/>
                    </w:rPr>
                    <w:t>b</w:t>
                  </w:r>
                </w:p>
              </w:tc>
              <w:tc>
                <w:tcPr>
                  <w:tcW w:w="1134" w:type="dxa"/>
                </w:tcPr>
                <w:p w14:paraId="77253324"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0B8E1351" w14:textId="77777777" w:rsidTr="00A933DB">
              <w:tc>
                <w:tcPr>
                  <w:tcW w:w="1315" w:type="dxa"/>
                </w:tcPr>
                <w:p w14:paraId="3AF0FFDE"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Pr>
                <w:p w14:paraId="4A94BDD1"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color w:val="000000" w:themeColor="text1"/>
                      <w:lang w:val="id-ID"/>
                    </w:rPr>
                    <w:t xml:space="preserve">Perlakuan (P) </w:t>
                  </w:r>
                </w:p>
              </w:tc>
              <w:tc>
                <w:tcPr>
                  <w:tcW w:w="1704" w:type="dxa"/>
                </w:tcPr>
                <w:p w14:paraId="4742D06B"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0,71 ± 0,022</w:t>
                  </w:r>
                  <w:r w:rsidRPr="004D1F42">
                    <w:rPr>
                      <w:rFonts w:ascii="Cambria" w:hAnsi="Cambria" w:cstheme="minorHAnsi"/>
                      <w:color w:val="000000" w:themeColor="text1"/>
                      <w:sz w:val="22"/>
                      <w:szCs w:val="22"/>
                      <w:vertAlign w:val="superscript"/>
                      <w:lang w:val="id-ID"/>
                    </w:rPr>
                    <w:t>b</w:t>
                  </w:r>
                </w:p>
              </w:tc>
              <w:tc>
                <w:tcPr>
                  <w:tcW w:w="1665" w:type="dxa"/>
                </w:tcPr>
                <w:p w14:paraId="69427C60"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0,26 ± 0,022</w:t>
                  </w:r>
                  <w:r w:rsidRPr="004D1F42">
                    <w:rPr>
                      <w:rFonts w:ascii="Cambria" w:hAnsi="Cambria" w:cstheme="minorHAnsi"/>
                      <w:color w:val="000000" w:themeColor="text1"/>
                      <w:sz w:val="22"/>
                      <w:szCs w:val="22"/>
                      <w:vertAlign w:val="superscript"/>
                      <w:lang w:val="id-ID"/>
                    </w:rPr>
                    <w:t>b</w:t>
                  </w:r>
                </w:p>
              </w:tc>
              <w:tc>
                <w:tcPr>
                  <w:tcW w:w="1705" w:type="dxa"/>
                </w:tcPr>
                <w:p w14:paraId="36AA511B"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en-US"/>
                    </w:rPr>
                  </w:pPr>
                  <w:r w:rsidRPr="004D1F42">
                    <w:rPr>
                      <w:rFonts w:ascii="Cambria" w:hAnsi="Cambria" w:cstheme="minorHAnsi"/>
                      <w:color w:val="000000" w:themeColor="text1"/>
                      <w:sz w:val="22"/>
                      <w:szCs w:val="22"/>
                      <w:lang w:val="id-ID"/>
                    </w:rPr>
                    <w:t>-0,45 ± 0,028</w:t>
                  </w:r>
                  <w:r w:rsidRPr="004D1F42">
                    <w:rPr>
                      <w:rFonts w:ascii="Cambria" w:hAnsi="Cambria" w:cstheme="minorHAnsi"/>
                      <w:color w:val="000000" w:themeColor="text1"/>
                      <w:sz w:val="22"/>
                      <w:szCs w:val="22"/>
                      <w:vertAlign w:val="superscript"/>
                      <w:lang w:val="en-US"/>
                    </w:rPr>
                    <w:t>c</w:t>
                  </w:r>
                </w:p>
              </w:tc>
              <w:tc>
                <w:tcPr>
                  <w:tcW w:w="1134" w:type="dxa"/>
                </w:tcPr>
                <w:p w14:paraId="3EF657AB"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r w:rsidRPr="004D1F42">
                    <w:rPr>
                      <w:rFonts w:ascii="Cambria" w:hAnsi="Cambria" w:cstheme="minorHAnsi"/>
                      <w:color w:val="000000" w:themeColor="text1"/>
                      <w:lang w:val="id-ID"/>
                    </w:rPr>
                    <w:t>0,001</w:t>
                  </w:r>
                  <w:r w:rsidRPr="004D1F42">
                    <w:rPr>
                      <w:rFonts w:ascii="Cambria" w:hAnsi="Cambria" w:cstheme="minorHAnsi"/>
                      <w:color w:val="000000" w:themeColor="text1"/>
                      <w:vertAlign w:val="superscript"/>
                      <w:lang w:val="id-ID"/>
                    </w:rPr>
                    <w:t>2*</w:t>
                  </w:r>
                </w:p>
              </w:tc>
            </w:tr>
            <w:tr w:rsidR="00AE2391" w:rsidRPr="004D1F42" w14:paraId="12B6F348" w14:textId="77777777" w:rsidTr="00A933DB">
              <w:tc>
                <w:tcPr>
                  <w:tcW w:w="1315" w:type="dxa"/>
                  <w:tcBorders>
                    <w:bottom w:val="single" w:sz="4" w:space="0" w:color="auto"/>
                  </w:tcBorders>
                </w:tcPr>
                <w:p w14:paraId="6487B5E2"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p>
              </w:tc>
              <w:tc>
                <w:tcPr>
                  <w:tcW w:w="2085" w:type="dxa"/>
                  <w:tcBorders>
                    <w:bottom w:val="single" w:sz="4" w:space="0" w:color="auto"/>
                  </w:tcBorders>
                </w:tcPr>
                <w:p w14:paraId="4559866D" w14:textId="77777777" w:rsidR="00AE2391" w:rsidRPr="004D1F42" w:rsidRDefault="00AE2391" w:rsidP="00375ADC">
                  <w:pPr>
                    <w:framePr w:hSpace="180" w:wrap="around" w:vAnchor="text" w:hAnchor="margin" w:y="79"/>
                    <w:jc w:val="both"/>
                    <w:rPr>
                      <w:rFonts w:ascii="Cambria" w:hAnsi="Cambria" w:cstheme="minorHAnsi"/>
                      <w:i/>
                      <w:iCs/>
                      <w:color w:val="000000" w:themeColor="text1"/>
                      <w:lang w:val="id-ID"/>
                    </w:rPr>
                  </w:pPr>
                  <w:r w:rsidRPr="004D1F42">
                    <w:rPr>
                      <w:rFonts w:ascii="Cambria" w:hAnsi="Cambria" w:cstheme="minorHAnsi"/>
                      <w:i/>
                      <w:iCs/>
                      <w:color w:val="000000" w:themeColor="text1"/>
                      <w:lang w:val="id-ID"/>
                    </w:rPr>
                    <w:t>P</w:t>
                  </w:r>
                  <w:r w:rsidRPr="004D1F42">
                    <w:rPr>
                      <w:rFonts w:ascii="Cambria" w:hAnsi="Cambria" w:cstheme="minorHAnsi"/>
                      <w:i/>
                      <w:iCs/>
                      <w:color w:val="000000" w:themeColor="text1"/>
                      <w:vertAlign w:val="superscript"/>
                      <w:lang w:val="id-ID"/>
                    </w:rPr>
                    <w:t>1</w:t>
                  </w:r>
                </w:p>
              </w:tc>
              <w:tc>
                <w:tcPr>
                  <w:tcW w:w="1704" w:type="dxa"/>
                  <w:tcBorders>
                    <w:bottom w:val="single" w:sz="4" w:space="0" w:color="auto"/>
                  </w:tcBorders>
                </w:tcPr>
                <w:p w14:paraId="1686EFF2"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665" w:type="dxa"/>
                  <w:tcBorders>
                    <w:bottom w:val="single" w:sz="4" w:space="0" w:color="auto"/>
                  </w:tcBorders>
                </w:tcPr>
                <w:p w14:paraId="51AFE36A"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1*</w:t>
                  </w:r>
                </w:p>
              </w:tc>
              <w:tc>
                <w:tcPr>
                  <w:tcW w:w="1705" w:type="dxa"/>
                  <w:tcBorders>
                    <w:bottom w:val="single" w:sz="4" w:space="0" w:color="auto"/>
                  </w:tcBorders>
                </w:tcPr>
                <w:p w14:paraId="63B444CE" w14:textId="77777777" w:rsidR="00AE2391" w:rsidRPr="004D1F42" w:rsidRDefault="00AE2391" w:rsidP="00375ADC">
                  <w:pPr>
                    <w:pStyle w:val="Default"/>
                    <w:framePr w:hSpace="180" w:wrap="around" w:vAnchor="text" w:hAnchor="margin" w:y="79"/>
                    <w:jc w:val="center"/>
                    <w:rPr>
                      <w:rFonts w:ascii="Cambria" w:hAnsi="Cambria" w:cstheme="minorHAnsi"/>
                      <w:color w:val="000000" w:themeColor="text1"/>
                      <w:sz w:val="22"/>
                      <w:szCs w:val="22"/>
                      <w:lang w:val="id-ID"/>
                    </w:rPr>
                  </w:pPr>
                  <w:r w:rsidRPr="004D1F42">
                    <w:rPr>
                      <w:rFonts w:ascii="Cambria" w:hAnsi="Cambria" w:cstheme="minorHAnsi"/>
                      <w:color w:val="000000" w:themeColor="text1"/>
                      <w:sz w:val="22"/>
                      <w:szCs w:val="22"/>
                      <w:lang w:val="id-ID"/>
                    </w:rPr>
                    <w:t>0,001</w:t>
                  </w:r>
                  <w:r w:rsidRPr="004D1F42">
                    <w:rPr>
                      <w:rFonts w:ascii="Cambria" w:hAnsi="Cambria" w:cstheme="minorHAnsi"/>
                      <w:color w:val="000000" w:themeColor="text1"/>
                      <w:sz w:val="22"/>
                      <w:szCs w:val="22"/>
                      <w:vertAlign w:val="superscript"/>
                      <w:lang w:val="id-ID"/>
                    </w:rPr>
                    <w:t>3*</w:t>
                  </w:r>
                </w:p>
              </w:tc>
              <w:tc>
                <w:tcPr>
                  <w:tcW w:w="1134" w:type="dxa"/>
                  <w:tcBorders>
                    <w:bottom w:val="single" w:sz="4" w:space="0" w:color="auto"/>
                  </w:tcBorders>
                </w:tcPr>
                <w:p w14:paraId="15C070E0" w14:textId="77777777" w:rsidR="00AE2391" w:rsidRPr="004D1F42" w:rsidRDefault="00AE2391" w:rsidP="00375ADC">
                  <w:pPr>
                    <w:framePr w:hSpace="180" w:wrap="around" w:vAnchor="text" w:hAnchor="margin" w:y="79"/>
                    <w:jc w:val="center"/>
                    <w:rPr>
                      <w:rFonts w:ascii="Cambria" w:hAnsi="Cambria" w:cstheme="minorHAnsi"/>
                      <w:color w:val="000000" w:themeColor="text1"/>
                      <w:lang w:val="id-ID"/>
                    </w:rPr>
                  </w:pPr>
                </w:p>
              </w:tc>
            </w:tr>
          </w:tbl>
          <w:bookmarkEnd w:id="1"/>
          <w:p w14:paraId="0F9FC396" w14:textId="77777777" w:rsidR="00AE2391" w:rsidRPr="004D1F42" w:rsidRDefault="00AE2391" w:rsidP="00A933DB">
            <w:pPr>
              <w:rPr>
                <w:rFonts w:ascii="Cambria" w:hAnsi="Cambria"/>
              </w:rPr>
            </w:pPr>
            <w:r w:rsidRPr="004D1F42">
              <w:rPr>
                <w:rFonts w:ascii="Cambria" w:hAnsi="Cambria" w:cstheme="minorHAnsi"/>
                <w:color w:val="000000" w:themeColor="text1"/>
                <w:vertAlign w:val="superscript"/>
                <w:lang w:val="id-ID"/>
              </w:rPr>
              <w:t>1</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 xml:space="preserve">One Way </w:t>
            </w:r>
            <w:r w:rsidRPr="004D1F42">
              <w:rPr>
                <w:rFonts w:ascii="Cambria" w:hAnsi="Cambria" w:cstheme="minorHAnsi"/>
                <w:color w:val="000000" w:themeColor="text1"/>
                <w:lang w:val="id-ID"/>
              </w:rPr>
              <w:t>Anova,</w:t>
            </w:r>
            <w:r w:rsidRPr="004D1F42">
              <w:rPr>
                <w:rFonts w:ascii="Cambria" w:hAnsi="Cambria" w:cstheme="minorHAnsi"/>
                <w:color w:val="000000" w:themeColor="text1"/>
              </w:rPr>
              <w:t xml:space="preserve"> </w:t>
            </w:r>
            <w:r w:rsidRPr="004D1F42">
              <w:rPr>
                <w:rFonts w:ascii="Cambria" w:hAnsi="Cambria" w:cstheme="minorHAnsi"/>
                <w:color w:val="000000" w:themeColor="text1"/>
                <w:vertAlign w:val="superscript"/>
              </w:rPr>
              <w:t>2</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Paired t-test</w:t>
            </w:r>
            <w:r w:rsidRPr="004D1F42">
              <w:rPr>
                <w:rFonts w:ascii="Cambria" w:hAnsi="Cambria" w:cstheme="minorHAnsi"/>
                <w:color w:val="000000" w:themeColor="text1"/>
              </w:rPr>
              <w:t xml:space="preserve">, </w:t>
            </w:r>
            <w:r w:rsidRPr="004D1F42">
              <w:rPr>
                <w:rFonts w:ascii="Cambria" w:hAnsi="Cambria" w:cstheme="minorHAnsi"/>
                <w:color w:val="000000" w:themeColor="text1"/>
                <w:lang w:val="id-ID"/>
              </w:rPr>
              <w:t xml:space="preserve"> </w:t>
            </w:r>
            <w:r w:rsidRPr="004D1F42">
              <w:rPr>
                <w:rFonts w:ascii="Cambria" w:hAnsi="Cambria" w:cstheme="minorHAnsi"/>
                <w:color w:val="000000" w:themeColor="text1"/>
                <w:vertAlign w:val="superscript"/>
              </w:rPr>
              <w:t>3</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Kruskal Wallis</w:t>
            </w:r>
            <w:r w:rsidRPr="004D1F42">
              <w:rPr>
                <w:rFonts w:ascii="Cambria" w:hAnsi="Cambria" w:cstheme="minorHAnsi"/>
                <w:color w:val="000000" w:themeColor="text1"/>
                <w:lang w:val="id-ID"/>
              </w:rPr>
              <w:t xml:space="preserve">, , </w:t>
            </w:r>
            <w:r w:rsidRPr="004D1F42">
              <w:rPr>
                <w:rFonts w:ascii="Cambria" w:hAnsi="Cambria" w:cstheme="minorHAnsi"/>
                <w:color w:val="000000" w:themeColor="text1"/>
                <w:vertAlign w:val="superscript"/>
                <w:lang w:val="id-ID"/>
              </w:rPr>
              <w:t>4</w:t>
            </w:r>
            <w:r w:rsidRPr="004D1F42">
              <w:rPr>
                <w:rFonts w:ascii="Cambria" w:hAnsi="Cambria" w:cstheme="minorHAnsi"/>
                <w:color w:val="000000" w:themeColor="text1"/>
                <w:lang w:val="id-ID"/>
              </w:rPr>
              <w:t xml:space="preserve">Uji </w:t>
            </w:r>
            <w:r w:rsidRPr="004D1F42">
              <w:rPr>
                <w:rFonts w:ascii="Cambria" w:hAnsi="Cambria" w:cstheme="minorHAnsi"/>
                <w:i/>
                <w:iCs/>
                <w:color w:val="000000" w:themeColor="text1"/>
                <w:lang w:val="id-ID"/>
              </w:rPr>
              <w:t>Wilcoxon</w:t>
            </w:r>
            <w:r w:rsidRPr="004D1F42">
              <w:rPr>
                <w:rFonts w:ascii="Cambria" w:hAnsi="Cambria" w:cstheme="minorHAnsi"/>
                <w:color w:val="000000" w:themeColor="text1"/>
              </w:rPr>
              <w:t xml:space="preserve">, </w:t>
            </w:r>
            <w:r w:rsidRPr="004D1F42">
              <w:rPr>
                <w:rFonts w:ascii="Cambria" w:hAnsi="Cambria" w:cstheme="minorHAnsi"/>
                <w:color w:val="000000" w:themeColor="text1"/>
                <w:vertAlign w:val="superscript"/>
              </w:rPr>
              <w:t>5</w:t>
            </w:r>
            <w:r w:rsidRPr="004D1F42">
              <w:rPr>
                <w:rFonts w:ascii="Cambria" w:hAnsi="Cambria" w:cstheme="minorHAnsi"/>
                <w:color w:val="000000" w:themeColor="text1"/>
              </w:rPr>
              <w:t xml:space="preserve">Uji </w:t>
            </w:r>
            <w:r w:rsidRPr="004D1F42">
              <w:rPr>
                <w:rFonts w:ascii="Cambria" w:hAnsi="Cambria" w:cstheme="minorHAnsi"/>
                <w:i/>
                <w:iCs/>
                <w:color w:val="000000" w:themeColor="text1"/>
              </w:rPr>
              <w:t>Mann Whitney,</w:t>
            </w:r>
            <w:r w:rsidRPr="004D1F42">
              <w:rPr>
                <w:rFonts w:ascii="Cambria" w:hAnsi="Cambria" w:cstheme="minorHAnsi"/>
                <w:i/>
                <w:iCs/>
                <w:color w:val="000000" w:themeColor="text1"/>
                <w:lang w:val="id-ID"/>
              </w:rPr>
              <w:t xml:space="preserve"> </w:t>
            </w:r>
            <w:r w:rsidRPr="004D1F42">
              <w:rPr>
                <w:rFonts w:ascii="Cambria" w:hAnsi="Cambria" w:cstheme="minorHAnsi"/>
                <w:i/>
                <w:iCs/>
                <w:color w:val="000000" w:themeColor="text1"/>
              </w:rPr>
              <w:t xml:space="preserve"> </w:t>
            </w:r>
            <w:r w:rsidRPr="004D1F42">
              <w:rPr>
                <w:rFonts w:ascii="Cambria" w:hAnsi="Cambria" w:cstheme="minorHAnsi"/>
                <w:color w:val="000000" w:themeColor="text1"/>
                <w:vertAlign w:val="superscript"/>
                <w:lang w:val="id-ID"/>
              </w:rPr>
              <w:t>a,b,c)</w:t>
            </w:r>
            <w:r w:rsidRPr="004D1F42">
              <w:rPr>
                <w:rFonts w:ascii="Cambria" w:hAnsi="Cambria" w:cstheme="minorHAnsi"/>
                <w:color w:val="000000" w:themeColor="text1"/>
                <w:lang w:val="id-ID"/>
              </w:rPr>
              <w:t>notasi berbeda menunjukkan perbedaan yang bermakna pada uji lanjut *signifikan (</w:t>
            </w:r>
            <w:r w:rsidRPr="004D1F42">
              <w:rPr>
                <w:rFonts w:ascii="Cambria" w:hAnsi="Cambria" w:cstheme="minorHAnsi"/>
                <w:i/>
                <w:iCs/>
                <w:color w:val="000000" w:themeColor="text1"/>
                <w:lang w:val="id-ID"/>
              </w:rPr>
              <w:t>p</w:t>
            </w:r>
            <w:r w:rsidRPr="004D1F42">
              <w:rPr>
                <w:rFonts w:ascii="Cambria" w:hAnsi="Cambria" w:cstheme="minorHAnsi"/>
                <w:color w:val="000000" w:themeColor="text1"/>
                <w:lang w:val="id-ID"/>
              </w:rPr>
              <w:t>&lt;0,05)</w:t>
            </w:r>
          </w:p>
          <w:p w14:paraId="7F1F0E55" w14:textId="77777777" w:rsidR="00AE2391" w:rsidRPr="004D1F42" w:rsidRDefault="00AE2391" w:rsidP="00A933DB">
            <w:pPr>
              <w:jc w:val="both"/>
              <w:rPr>
                <w:rFonts w:ascii="Cambria" w:hAnsi="Cambria" w:cstheme="minorHAnsi"/>
                <w:color w:val="000000" w:themeColor="text1"/>
                <w:lang w:val="id-ID"/>
              </w:rPr>
            </w:pPr>
          </w:p>
        </w:tc>
      </w:tr>
    </w:tbl>
    <w:p w14:paraId="71443FFF" w14:textId="77777777" w:rsidR="00AE2391" w:rsidRPr="00295A79" w:rsidRDefault="00AE2391" w:rsidP="00AE2391">
      <w:pPr>
        <w:spacing w:after="0" w:line="240" w:lineRule="auto"/>
        <w:jc w:val="both"/>
        <w:rPr>
          <w:rFonts w:ascii="Cambria" w:hAnsi="Cambria" w:cstheme="minorHAnsi"/>
          <w:lang w:val="id-ID"/>
        </w:rPr>
      </w:pPr>
      <w:r w:rsidRPr="00295A79">
        <w:rPr>
          <w:rFonts w:ascii="Cambria" w:hAnsi="Cambria" w:cstheme="minorHAnsi"/>
          <w:lang w:val="id-ID"/>
        </w:rPr>
        <w:t>intestinal, memperlambat perjalanan makanan melalui usus sehingga dapat menurunkan kadar kolesterol dan trigliserida darah</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"10.1161/CIRCRESAHA.107.156596", "ISSN" : "0009-7330", "author" : [ { "dropping-particle" : "", "family" : "Yang", "given" : "Ronghua", "non-dropping-particle" : "", "parse-names" : false, "suffix" : "" }, { "dropping-particle" : "", "family" : "Barouch", "given" : "Lili A.", "non-dropping-particle" : "", "parse-names" : false, "suffix" : "" } ], "container-title" : "Circulation Research", "id" : "ITEM-1", "issue" : "6", "issued" : { "date-parts" : [ [ "2007", "9", "14" ] ] }, "page" : "545-559", "title" : "Leptin Signaling and Obesity", "type" : "article-journal", "volume" : "101" }, "uris" : [ "http://www.mendeley.com/documents/?uuid=faaa6171-3a61-44f5-85b6-b0339d98527a" ] }, { "id" : "ITEM-2", "itemData" : { "DOI" : "10.1093/ajcn/86.4.938", "ISSN" : "0002-9165", "author" : [ { "dropping-particle" : "", "family" : "Chan", "given" : "Yap-Hang", "non-dropping-particle" : "", "parse-names" : false, "suffix" : "" }, { "dropping-particle" : "", "family" : "Lau", "given" : "Kui-Kai", "non-dropping-particle" : "", "parse-names" : false, "suffix" : "" }, { "dropping-particle" : "", "family" : "Yiu", "given" : "Kai-Hang", "non-dropping-particle" : "", "parse-names" : false, "suffix" : "" }, { "dropping-particle" : "", "family" : "Li", "given" : "Sheung-Wai", "non-dropping-particle" : "", "parse-names" : false, "suffix" : "" }, { "dropping-particle" : "", "family" : "Chan", "given" : "Hiu-Ting", "non-dropping-particle" : "", "parse-names" : false, "suffix" : "" }, { "dropping-particle" : "", "family" : "Tam", "given" : "Sidney", "non-dropping-particle" : "", "parse-names" : false, "suffix" : "" }, { "dropping-particle" : "", "family" : "Shu", "given" : "Xiao-Ou", "non-dropping-particle" : "", "parse-names" : false, "suffix" : "" }, { "dropping-particle" : "", "family" : "Lau", "given" : "Chu-Pak", "non-dropping-particle" : "", "parse-names" : false, "suffix" : "" }, { "dropping-particle" : "", "family" : "Tse", "given" : "Hung-Fat", "non-dropping-particle" : "", "parse-names" : false, "suffix" : "" } ], "container-title" : "The American Journal of Clinical Nutrition", "id" : "ITEM-2", "issue" : "4", "issued" : { "date-parts" : [ [ "2007", "10", "1" ] ] }, "page" : "938-945", "title" : "Isoflavone intake in persons at high risk of cardiovascular events: implications for vascular endothelial function and the carotid atherosclerotic burden", "type" : "article-journal", "volume" : "86" }, "uris" : [ "http://www.mendeley.com/documents/?uuid=bcf43a39-b563-4df7-b29b-7e9aefc0d517" ] } ], "mendeley" : { "formattedCitation" : "(Chan et al., 2007; Yang &amp; Barouch, 2007)", "plainTextFormattedCitation" : "(Chan et al., 2007; Yang &amp; Barouch, 2007)", "previouslyFormattedCitation" : "(Chan et al., 2007; Yang &amp; Barouch, 2007)"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(Chan et al., 2007; Yang &amp; Barouch, 2007)</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rPr>
        <w:t xml:space="preserve"> </w:t>
      </w:r>
      <w:r w:rsidRPr="00295A79">
        <w:rPr>
          <w:rFonts w:ascii="Cambria" w:hAnsi="Cambria" w:cstheme="minorHAnsi"/>
          <w:lang w:val="id-ID"/>
        </w:rPr>
        <w:t xml:space="preserve">Hasil penelitian ini juga sejalan dengan peneltian di Seoul tahun 2012 mengenai efek pemberian ekstrak sorgum </w:t>
      </w:r>
    </w:p>
    <w:p w14:paraId="62581DA9" w14:textId="77777777" w:rsidR="00AE2391" w:rsidRPr="00734D57" w:rsidRDefault="00AE2391" w:rsidP="00AE2391">
      <w:pPr>
        <w:spacing w:after="0" w:line="240" w:lineRule="auto"/>
        <w:ind w:firstLine="720"/>
        <w:jc w:val="both"/>
        <w:rPr>
          <w:rFonts w:ascii="Cambria" w:hAnsi="Cambria" w:cstheme="minorHAnsi"/>
          <w:b/>
          <w:bCs/>
        </w:rPr>
      </w:pPr>
      <w:r w:rsidRPr="00295A79">
        <w:rPr>
          <w:rFonts w:ascii="Cambria" w:hAnsi="Cambria" w:cstheme="minorHAnsi"/>
          <w:lang w:val="id-ID"/>
        </w:rPr>
        <w:t>terhadap profil lipid pada tikus yang diberikan diet tinggi lemak. Pemberian ekstrak sorgum sebanyak 5% dapat menurunkan kadar kolesterol total, LDL, dan trigliserida</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"Salimi", "given" : "Yuszda K.", "non-dropping-particle" : "", "parse-names" : false, "suffix" : "" } ], "id" : "ITEM-1", "issued" : { "date-parts" : [ [ "2012" ] ] }, "number-of-pages" : "156", "publisher" : "Institut Pertanian Bogor", "title" : "Peranan Ekstrak dan Tepung Sorgum (Sorghum bicolor L.) dalam Penghambatan Kanker secara in vitro dan in vivo pada Mencit BALB/c", "type" : "thesis" }, "uris" : [ "http://www.mendeley.com/documents/?uuid=2488ab01-dca5-46ee-97a2-b7fff1e7ecf7" ] } ], "mendeley" : { "formattedCitation" : "(Salimi, 2012)", "plainTextFormattedCitation" : "(Salimi, 2012)", "previouslyFormattedCitation" : "(Salimi, 2012)"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(Salimi, 2012)</w:t>
      </w:r>
      <w:r w:rsidRPr="00295A79">
        <w:rPr>
          <w:rFonts w:ascii="Cambria" w:hAnsi="Cambria" w:cstheme="minorHAnsi"/>
          <w:lang w:val="id-ID"/>
        </w:rPr>
        <w:fldChar w:fldCharType="end"/>
      </w:r>
      <w:r>
        <w:rPr>
          <w:rFonts w:ascii="Cambria" w:hAnsi="Cambria" w:cstheme="minorHAnsi"/>
        </w:rPr>
        <w:t>.</w:t>
      </w:r>
    </w:p>
    <w:p w14:paraId="6976B854" w14:textId="77777777" w:rsidR="00AE2391" w:rsidRPr="00734D57" w:rsidRDefault="00AE2391" w:rsidP="00AE2391">
      <w:pPr>
        <w:spacing w:after="0" w:line="240" w:lineRule="auto"/>
        <w:ind w:firstLine="720"/>
        <w:jc w:val="both"/>
        <w:rPr>
          <w:rFonts w:ascii="Cambria" w:hAnsi="Cambria" w:cstheme="minorHAnsi"/>
          <w:b/>
          <w:bCs/>
        </w:rPr>
      </w:pPr>
      <w:r w:rsidRPr="00295A79">
        <w:rPr>
          <w:rFonts w:ascii="Cambria" w:hAnsi="Cambria" w:cstheme="minorHAnsi"/>
          <w:lang w:val="id-ID"/>
        </w:rPr>
        <w:lastRenderedPageBreak/>
        <w:t>Hasil penelitian terhadap aktivitas antioksidan pada sorgum menunjukkan bahwa aktivitas antioksidan yang terdapat di dalam sorgum sebesar 89,32%.</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"Isdamayani", "given" : "Linda", "non-dropping-particle" : "", "parse-names" : false, "suffix" : "" }, { "dropping-particle" : "", "family" : "Panunggal", "given" : "Binar", "non-dropping-particle" : "", "parse-names" : false, "suffix" : "" } ], "container-title" : "Journal of Nutrition College", "id" : "ITEM-1", "issue" : "2", "issued" : { "date-parts" : [ [ "2015" ] ] }, "page" : "342-349", "title" : "Kandungan Flavonoid, Total Fenol, Dan Antioksidan Snack Barsorgum Sebagai Alternatif Makanan Selingan Penderita Diabetes Mellitus Tipe 2", "type" : "article-journal", "volume" : "4" }, "uris" : [ "http://www.mendeley.com/documents/?uuid=977c51c9-ac02-4526-9c67-53d989a42328" ] } ], "mendeley" : { "formattedCitation" : "(Isdamayani &amp; Panunggal, 2015)", "plainTextFormattedCitation" : "(Isdamayani &amp; Panunggal, 2015)", "previouslyFormattedCitation" : "(Isdamayani &amp; Panunggal, 2015)"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(Isdamayani &amp; Panunggal, 2015)</w:t>
      </w:r>
      <w:r w:rsidRPr="00295A79">
        <w:rPr>
          <w:rFonts w:ascii="Cambria" w:hAnsi="Cambria" w:cstheme="minorHAnsi"/>
          <w:lang w:val="id-ID"/>
        </w:rPr>
        <w:fldChar w:fldCharType="end"/>
      </w:r>
      <w:r w:rsidRPr="00295A79">
        <w:rPr>
          <w:rFonts w:ascii="Cambria" w:hAnsi="Cambria" w:cstheme="minorHAnsi"/>
          <w:lang w:val="id-ID"/>
        </w:rPr>
        <w:t xml:space="preserve"> Antioksidan yang terdapat dalam sorgum salah satunya adalah antosianin. Antosianin berperan mengurangi resistensi insulin dan meningkatkan sensitivitas insulin sehingga mampu menghambat</w:t>
      </w:r>
      <w:r w:rsidRPr="00295A79">
        <w:rPr>
          <w:rFonts w:ascii="Cambria" w:hAnsi="Cambria" w:cstheme="minorHAnsi"/>
        </w:rPr>
        <w:t xml:space="preserve"> HSL</w:t>
      </w:r>
      <w:r w:rsidRPr="00295A79">
        <w:rPr>
          <w:rFonts w:ascii="Cambria" w:hAnsi="Cambria" w:cstheme="minorHAnsi"/>
          <w:lang w:val="id-ID"/>
        </w:rPr>
        <w:t xml:space="preserve"> agar tidak terjadi lipolisis dan peningkatan asam lemak bebas</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"Suliartini", "given" : "Ni Wayan Sri", "non-dropping-particle" : "", "parse-names" : false, "suffix" : "" }, { "dropping-particle" : "", "family" : "Sadimantara", "given" : "Gusti R.", "non-dropping-particle" : "", "parse-names" : false, "suffix" : "" }, { "dropping-particle" : "", "family" : "Muhidin1", "given" : "Teguh Wijayanto dan", "non-dropping-particle" : "", "parse-names" : false, "suffix" : "" } ], "container-title" : "Crop Agro", "id" : "ITEM-1", "issue" : "2", "issued" : { "date-parts" : [ [ "2011" ] ] }, "page" : "43-48", "title" : "Pengujian Kadar Antosianin Padi Gogo Beras Merah Hasil Koleksi Plasma Nutfah Sulawesi Tenggara.", "type" : "article-journal", "volume" : "4" }, "uris" : [ "http://www.mendeley.com/documents/?uuid=3d9c9a4e-3eb9-4a89-942d-1982a5d212ed" ] } ], "mendeley" : { "formattedCitation" : "(Suliartini, Sadimantara, &amp; Muhidin1, 2011)", "plainTextFormattedCitation" : "(Suliartini, Sadimantara, &amp; Muhidin1, 2011)", "previouslyFormattedCitation" : "(Suliartini, Sadimantara, &amp; Muhidin1, 2011)"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(Suliartini, Sadimantara, &amp; Muhidin1, 2011)</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Mekanisme antosianin dalam menurunkan kadar trigliserida yaitu dengan cara menghambat sintesis kolesterol. Antosianin bertindak mengaktifkan </w:t>
      </w:r>
      <w:r w:rsidRPr="00295A79">
        <w:rPr>
          <w:rFonts w:ascii="Cambria" w:hAnsi="Cambria" w:cstheme="minorHAnsi"/>
          <w:i/>
          <w:iCs/>
          <w:lang w:val="id-ID"/>
        </w:rPr>
        <w:t xml:space="preserve">adenosin monophosphate-activated protein kinase </w:t>
      </w:r>
      <w:r w:rsidRPr="00295A79">
        <w:rPr>
          <w:rFonts w:ascii="Cambria" w:hAnsi="Cambria" w:cstheme="minorHAnsi"/>
          <w:lang w:val="id-ID"/>
        </w:rPr>
        <w:t xml:space="preserve">(AMPK) yang berperan dalam homeostasis energi. AMPK menghalangi HMG-KoA reduktase yang berperan dalam sintesis kolesterol sehingga pengaktifan AMPK akan menurunkan sintesis kolesterol. AMPK juga berperan dalam menurunkan aktivasi </w:t>
      </w:r>
      <w:r w:rsidRPr="00295A79">
        <w:rPr>
          <w:rFonts w:ascii="Cambria" w:hAnsi="Cambria" w:cstheme="minorHAnsi"/>
          <w:i/>
          <w:iCs/>
          <w:lang w:val="id-ID"/>
        </w:rPr>
        <w:t xml:space="preserve">Asetil ko-A karboksilase </w:t>
      </w:r>
      <w:r w:rsidRPr="00295A79">
        <w:rPr>
          <w:rFonts w:ascii="Cambria" w:hAnsi="Cambria" w:cstheme="minorHAnsi"/>
          <w:lang w:val="id-ID"/>
        </w:rPr>
        <w:t>sehingga meningkatkan oksidasi asam lemak dan menurunkan sintesis asam lemak akibatnya terjadi penurunan kadar kolesterol</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"author" : [ { "dropping-particle" : "", "family" : "Suliartini", "given" : "Ni Wayan Sri", "non-dropping-particle" : "", "parse-names" : false, "suffix" : "" }, { "dropping-particle" : "", "family" : "Sadimantara", "given" : "Gusti R.", "non-dropping-particle" : "", "parse-names" : false, "suffix" : "" }, { "dropping-particle" : "", "family" : "Muhidin1", "given" : "Teguh Wijayanto dan", "non-dropping-particle" : "", "parse-names" : false, "suffix" : "" } ], "container-title" : "Crop Agro", "id" : "ITEM-1", "issue" : "2", "issued" : { "date-parts" : [ [ "2011" ] ] }, "page" : "43-48", "title" : "Pengujian Kadar Antosianin Padi Gogo Beras Merah Hasil Koleksi Plasma Nutfah Sulawesi Tenggara.", "type" : "article-journal", "volume" : "4" }, "uris" : [ "http://www.mendeley.com/documents/?uuid=3d9c9a4e-3eb9-4a89-942d-1982a5d212ed" ] } ], "mendeley" : { "formattedCitation" : "(Suliartini et al., 2011)", "plainTextFormattedCitation" : "(Suliartini et al., 2011)", "previouslyFormattedCitation" : "(Suliartini et al., 2011)"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(Suliartini et al., 2011)</w:t>
      </w:r>
      <w:r w:rsidRPr="00295A79">
        <w:rPr>
          <w:rFonts w:ascii="Cambria" w:hAnsi="Cambria" w:cstheme="minorHAnsi"/>
          <w:lang w:val="id-ID"/>
        </w:rPr>
        <w:fldChar w:fldCharType="end"/>
      </w:r>
      <w:r>
        <w:rPr>
          <w:rFonts w:ascii="Cambria" w:hAnsi="Cambria" w:cstheme="minorHAnsi"/>
        </w:rPr>
        <w:t>.</w:t>
      </w:r>
    </w:p>
    <w:p w14:paraId="0A8A69DA" w14:textId="77777777" w:rsidR="00AE2391" w:rsidRDefault="00AE2391" w:rsidP="00AE2391">
      <w:pPr>
        <w:spacing w:after="0" w:line="240" w:lineRule="auto"/>
        <w:ind w:firstLine="720"/>
        <w:jc w:val="both"/>
        <w:rPr>
          <w:rFonts w:ascii="Cambria" w:hAnsi="Cambria" w:cstheme="minorHAnsi"/>
        </w:rPr>
      </w:pPr>
      <w:r w:rsidRPr="00295A79">
        <w:rPr>
          <w:rFonts w:ascii="Cambria" w:hAnsi="Cambria" w:cstheme="minorHAnsi"/>
          <w:color w:val="000000" w:themeColor="text1"/>
          <w:lang w:val="id-ID"/>
        </w:rPr>
        <w:t xml:space="preserve">Berdasarkan hasil uji </w:t>
      </w:r>
      <w:r w:rsidRPr="00295A79">
        <w:rPr>
          <w:rFonts w:ascii="Cambria" w:hAnsi="Cambria" w:cstheme="minorHAnsi"/>
          <w:i/>
          <w:iCs/>
          <w:color w:val="000000" w:themeColor="text1"/>
          <w:lang w:val="id-ID"/>
        </w:rPr>
        <w:t xml:space="preserve">paired t test </w:t>
      </w:r>
      <w:r w:rsidRPr="00295A79">
        <w:rPr>
          <w:rFonts w:ascii="Cambria" w:hAnsi="Cambria" w:cstheme="minorHAnsi"/>
          <w:color w:val="000000" w:themeColor="text1"/>
          <w:lang w:val="id-ID"/>
        </w:rPr>
        <w:t xml:space="preserve">terdapat perbedaan kadar kolesterol HDL sebelum dan sesudah diberikan intervensi pada masing-masing kelompok (Tabel </w:t>
      </w:r>
      <w:r w:rsidRPr="00295A79">
        <w:rPr>
          <w:rFonts w:ascii="Cambria" w:hAnsi="Cambria" w:cstheme="minorHAnsi"/>
          <w:color w:val="000000" w:themeColor="text1"/>
        </w:rPr>
        <w:t>4</w:t>
      </w:r>
      <w:r w:rsidRPr="00295A79">
        <w:rPr>
          <w:rFonts w:ascii="Cambria" w:hAnsi="Cambria" w:cstheme="minorHAnsi"/>
          <w:color w:val="000000" w:themeColor="text1"/>
          <w:lang w:val="id-ID"/>
        </w:rPr>
        <w:t xml:space="preserve">). Perubahan kadar HDL terjadi secara signifikan pada kelompok (K-), (K+) maupun kelompok (P). </w:t>
      </w:r>
      <w:r w:rsidRPr="00295A79">
        <w:rPr>
          <w:rFonts w:ascii="Cambria" w:hAnsi="Cambria" w:cstheme="minorHAnsi"/>
          <w:lang w:val="id-ID"/>
        </w:rPr>
        <w:t>Penurunan kadar HDL pada kelompok (K+) dikarenakan pada kondisi DM terjadi resistensi insulin yang dapat memicu peningkatan lipolisis di sel adiposa. Hasilnya, terjadi peningkatan transport asam lemak ke dalam hepar sehingga kadar VLDL kolesterol meningkat. Insulin berperan secara langsung mendegradasi apo B yang merupakan protein utama dari VLDL dan insulin juga meningkatkan sekresi apo B dan VLDL</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"10.1186/2251-6581-13-58", "ISSN" : "2251-6581", "author" : [ { "dropping-particle" : "", "family" : "Dixit", "given" : "Amit", "non-dropping-particle" : "", "parse-names" : false, "suffix" : "" }, { "dropping-particle" : "", "family" : "Dey", "given" : "Ranjit", "non-dropping-particle" : "", "parse-names" : false, "suffix" : "" }, { "dropping-particle" : "", "family" : "Suresh", "given" : "Aela", "non-dropping-particle" : "", "parse-names" : false, "suffix" : "" }, { "dropping-particle" : "", "family" : "Chaudhuri", "given" : "Siddhartha", "non-dropping-particle" : "", "parse-names" : false, "suffix" : "" }, { "dropping-particle" : "", "family" : "Panda", "given" : "Ashok", "non-dropping-particle" : "", "parse-names" : false, "suffix" : "" }, { "dropping-particle" : "", "family" : "Mitra", "given" : "Achintya", "non-dropping-particle" : "", "parse-names" : false, "suffix" : "" }, { "dropping-particle" : "", "family" : "Hazra", "given" : "Jayram", "non-dropping-particle" : "", "parse-names" : false, "suffix" : "" } ], "container-title" : "Journal of Diabetes &amp; Metabolic Disorders", "id" : "ITEM-1", "issue" : "1", "issued" : { "date-parts" : [ [ "2014" ] ] }, "page" : "58", "title" : "The prevalence of dyslipidemia in patients with diabetes mellitus of ayurveda Hospital", "type" : "article-journal", "volume" : "13" }, "uris" : [ "http://www.mendeley.com/documents/?uuid=156278bc-4d5b-430f-981b-c3baae5f0a6d" ] }, { "id" : "ITEM-2", "itemData" : { "author" : [ { "dropping-particle" : "", "family" : "Regmi", "given" : "Prashant", "non-dropping-particle" : "", "parse-names" : false, "suffix" : "" }, { "dropping-particle" : "", "family" : "Gyawali", "given" : "Prajwal", "non-dropping-particle" : "", "parse-names" : false, "suffix" : "" }, { "dropping-particle" : "", "family" : "Shrestha", "given" : "Rojeet", "non-dropping-particle" : "", "parse-names" : false, "suffix" : "" }, { "dropping-particle" : "", "family" : "Sigdel", "given" : "Manoj", "non-dropping-particle" : "", "parse-names" : false, "suffix" : "" }, { "dropping-particle" : "", "family" : "Mehta", "given" : "Kisun D", "non-dropping-particle" : "", "parse-names" : false, "suffix" : "" }, { "dropping-particle" : "", "family" : "Majh", "given" : "Shankar", "non-dropping-particle" : "", "parse-names" : false, "suffix" : "" } ], "container-title" : "Journal of Nepal Association for Medical Laboratory Sciences", "id" : "ITEM-2", "issue" : "1", "issued" : { "date-parts" : [ [ "2009" ] ] }, "page" : "11-13", "title" : "Pattern of Dyslipidemia in Type 2 Diabetic Subjects in Eastern Nepal", "type" : "article-journal", "volume" : "10" }, "uris" : [ "http://www.mendeley.com/documents/?uuid=1b3fc2f8-d1cf-4064-9e09-52c1a8e2194b" ] } ], "mendeley" : { "formattedCitation" : "(Dixit et al., 2014; Regmi et al., 2009)", "plainTextFormattedCitation" : "(Dixit et al., 2014; Regmi et al., 2009)", "previouslyFormattedCitation" : "(Dixit et al., 2014; Regmi et al., 2009)"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(Dixit et al., 2014; Regmi et al., 2009)</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Peningkatan kadar glukosa pada tikus DM juga dapat menurunkan aktivitas gen mitokondria seperti </w:t>
      </w:r>
      <w:r w:rsidRPr="00295A79">
        <w:rPr>
          <w:rFonts w:ascii="Cambria" w:hAnsi="Cambria" w:cstheme="minorHAnsi"/>
          <w:i/>
          <w:iCs/>
          <w:lang w:val="id-ID"/>
        </w:rPr>
        <w:t xml:space="preserve">Peroxisome proliferator activated receptor gamma </w:t>
      </w:r>
      <w:r w:rsidRPr="00295A79">
        <w:rPr>
          <w:rFonts w:ascii="Cambria" w:hAnsi="Cambria" w:cstheme="minorHAnsi"/>
          <w:lang w:val="id-ID"/>
        </w:rPr>
        <w:t xml:space="preserve">(PPAR γ) dan </w:t>
      </w:r>
      <w:r w:rsidRPr="00295A79">
        <w:rPr>
          <w:rFonts w:ascii="Cambria" w:hAnsi="Cambria" w:cstheme="minorHAnsi"/>
          <w:i/>
          <w:iCs/>
          <w:lang w:val="id-ID"/>
        </w:rPr>
        <w:t xml:space="preserve">PPAR γ coactivator 1-α </w:t>
      </w:r>
      <w:r w:rsidRPr="00295A79">
        <w:rPr>
          <w:rFonts w:ascii="Cambria" w:hAnsi="Cambria" w:cstheme="minorHAnsi"/>
          <w:lang w:val="id-ID"/>
        </w:rPr>
        <w:t>(PGC-1α) sehingga mengakibatkan peningkatan asam lemak bebas dalam darah dan peningkatan akumulasi lipid seluler. Akibatnya, kadar HDL menurun</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"10.2337/db08-1637", "ISSN" : "0012-1797", "author" : [ { "dropping-particle" : "", "family" : "Gao", "given" : "Z.", "non-dropping-particle" : "", "parse-names" : false, "suffix" : "" }, { "dropping-particle" : "", "family" : "Yin", "given" : "J.", "non-dropping-particle" : "", "parse-names" : false, "suffix" : "" }, { "dropping-particle" : "", "family" : "Zhang", "given" : "J.", "non-dropping-particle" : "", "parse-names" : false, "suffix" : "" }, { "dropping-particle" : "", "family" : "Ward", "given" : "R. E.", "non-dropping-particle" : "", "parse-names" : false, "suffix" : "" }, { "dropping-particle" : "", "family" : "Martin", "given" : "R. J.", "non-dropping-particle" : "", "parse-names" : false, "suffix" : "" }, { "dropping-particle" : "", "family" : "Lefevre", "given" : "M.", "non-dropping-particle" : "", "parse-names" : false, "suffix" : "" }, { "dropping-particle" : "", "family" : "Cefalu", "given" : "W. T.", "non-dropping-particle" : "", "parse-names" : false, "suffix" : "" }, { "dropping-particle" : "", "family" : "Ye", "given" : "J.", "non-dropping-particle" : "", "parse-names" : false, "suffix" : "" } ], "container-title" : "Diabetes", "id" : "ITEM-1", "issue" : "7", "issued" : { "date-parts" : [ [ "2009", "7", "1" ] ] }, "page" : "1509-1517", "title" : "Butyrate Improves Insulin Sensitivity and Increases Energy Expenditure in Mice", "type" : "article-journal", "volume" : "58" }, "uris" : [ "http://www.mendeley.com/documents/?uuid=3ef9548a-7aec-4d35-b544-74ef8c5b990e" ] } ], "mendeley" : { "formattedCitation" : "(Gao et al., 2009)", "plainTextFormattedCitation" : "(Gao et al., 2009)", "previouslyFormattedCitation" : "(Gao et al., 2009)"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(Gao et al., 2009)</w:t>
      </w:r>
      <w:r w:rsidRPr="00295A79">
        <w:rPr>
          <w:rFonts w:ascii="Cambria" w:hAnsi="Cambria" w:cstheme="minorHAnsi"/>
          <w:lang w:val="id-ID"/>
        </w:rPr>
        <w:fldChar w:fldCharType="end"/>
      </w:r>
      <w:r>
        <w:rPr>
          <w:rFonts w:ascii="Cambria" w:hAnsi="Cambria" w:cstheme="minorHAnsi"/>
        </w:rPr>
        <w:t>.</w:t>
      </w:r>
    </w:p>
    <w:p w14:paraId="7B0B82EB" w14:textId="77777777" w:rsidR="00AE2391" w:rsidRPr="00295A79" w:rsidRDefault="00AE2391" w:rsidP="00AE2391">
      <w:pPr>
        <w:spacing w:after="0" w:line="240" w:lineRule="auto"/>
        <w:ind w:firstLine="720"/>
        <w:jc w:val="both"/>
        <w:rPr>
          <w:rFonts w:ascii="Cambria" w:hAnsi="Cambria" w:cstheme="minorHAnsi"/>
          <w:lang w:val="id-ID"/>
        </w:rPr>
      </w:pPr>
      <w:r w:rsidRPr="00295A79">
        <w:rPr>
          <w:rFonts w:ascii="Cambria" w:hAnsi="Cambria" w:cstheme="minorHAnsi"/>
          <w:color w:val="000000" w:themeColor="text1"/>
          <w:lang w:val="id-ID"/>
        </w:rPr>
        <w:t xml:space="preserve">Kadar LDL sebelum dan sesudah intervensi pada masing-masing kelompok (p&lt;0,05) menunjukkan terdapat perbedaan yang </w:t>
      </w:r>
      <w:r w:rsidRPr="00295A79">
        <w:rPr>
          <w:rFonts w:ascii="Cambria" w:hAnsi="Cambria" w:cstheme="minorHAnsi"/>
          <w:color w:val="000000" w:themeColor="text1"/>
          <w:lang w:val="id-ID"/>
        </w:rPr>
        <w:t xml:space="preserve">signifikan (Tabel </w:t>
      </w:r>
      <w:r w:rsidRPr="00295A79">
        <w:rPr>
          <w:rFonts w:ascii="Cambria" w:hAnsi="Cambria" w:cstheme="minorHAnsi"/>
          <w:color w:val="000000" w:themeColor="text1"/>
        </w:rPr>
        <w:t>4</w:t>
      </w:r>
      <w:r w:rsidRPr="00295A79">
        <w:rPr>
          <w:rFonts w:ascii="Cambria" w:hAnsi="Cambria" w:cstheme="minorHAnsi"/>
          <w:color w:val="000000" w:themeColor="text1"/>
          <w:lang w:val="id-ID"/>
        </w:rPr>
        <w:t xml:space="preserve">). </w:t>
      </w:r>
      <w:r w:rsidRPr="00295A79">
        <w:rPr>
          <w:rFonts w:ascii="Cambria" w:hAnsi="Cambria" w:cstheme="minorHAnsi"/>
          <w:lang w:val="id-ID"/>
        </w:rPr>
        <w:t xml:space="preserve">Kenaikan kadar LDL pada kelompok (K+) dikarenakan pada kondisi DM terjadi resistensi insulin yang dapat menyebabkan perubahan proses produksi dan pembuangan lipoprotein plasma, di jaringan lemak terjadi penurunan efek insulin sehingga proses lipogenelis (pembentukan asam lemak di hati) turun dan lipolisis (pemecahan lemak) naik, hal tersebut menyebabkan </w:t>
      </w:r>
      <w:r w:rsidRPr="00295A79">
        <w:rPr>
          <w:rFonts w:ascii="Cambria" w:hAnsi="Cambria" w:cstheme="minorHAnsi"/>
          <w:i/>
          <w:iCs/>
          <w:lang w:val="id-ID"/>
        </w:rPr>
        <w:t>glucotoxicity</w:t>
      </w:r>
      <w:r w:rsidRPr="00295A79">
        <w:rPr>
          <w:rFonts w:ascii="Cambria" w:hAnsi="Cambria" w:cstheme="minorHAnsi"/>
          <w:lang w:val="id-ID"/>
        </w:rPr>
        <w:t xml:space="preserve"> (peningkatan glukosa terus-menerus) dan </w:t>
      </w:r>
      <w:r w:rsidRPr="00295A79">
        <w:rPr>
          <w:rFonts w:ascii="Cambria" w:hAnsi="Cambria" w:cstheme="minorHAnsi"/>
          <w:i/>
          <w:iCs/>
          <w:lang w:val="id-ID"/>
        </w:rPr>
        <w:t>lipotoxicity</w:t>
      </w:r>
      <w:r w:rsidRPr="00295A79">
        <w:rPr>
          <w:rFonts w:ascii="Cambria" w:hAnsi="Cambria" w:cstheme="minorHAnsi"/>
          <w:lang w:val="id-ID"/>
        </w:rPr>
        <w:t xml:space="preserve"> (jumlah lemak dalam darah meningkat/abnormal).</w:t>
      </w:r>
    </w:p>
    <w:p w14:paraId="03AA7074" w14:textId="77777777" w:rsidR="00AE2391" w:rsidRPr="00734D57" w:rsidRDefault="00AE2391" w:rsidP="00AE2391">
      <w:pPr>
        <w:pStyle w:val="Default"/>
        <w:ind w:firstLine="720"/>
        <w:jc w:val="both"/>
        <w:rPr>
          <w:rFonts w:ascii="Cambria" w:hAnsi="Cambria" w:cstheme="minorHAnsi"/>
          <w:b/>
          <w:bCs/>
          <w:sz w:val="22"/>
          <w:szCs w:val="22"/>
          <w:lang w:val="en-US"/>
        </w:rPr>
      </w:pPr>
      <w:r w:rsidRPr="00295A79">
        <w:rPr>
          <w:rFonts w:ascii="Cambria" w:hAnsi="Cambria" w:cstheme="minorHAnsi"/>
          <w:sz w:val="22"/>
          <w:szCs w:val="22"/>
          <w:lang w:val="id-ID"/>
        </w:rPr>
        <w:t>Setelah intervensi terjadi penurunan LDL dan peningkatan HDL pada kelompok (P). Peningkatan makanan tinggi serat yang cukup akan membantu pencegahan komplikasi klinis DM. Serat pangan berfungsi memperlambat pencernaan dalam usus, memberikan rasa kenyang lebih lama, serta memperlambat kemunculan glukosa darah. Wresdiyati et al. melaporkan bahwa serat pangan dapat mengikat kolesterol LDL secara langsung, juga mengikat asam empedu dan menghambat sirkulasi enterohepatik asam empedu. Mekanisme ini akan memacu kehilangan kolesterol LDL dengan cara meningkatkan pengeluaran kolesterol LDL melalui feses</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"Wresdiyati", "given" : "Tutik", "non-dropping-particle" : "", "parse-names" : false, "suffix" : "" }, { "dropping-particle" : "", "family" : "Hartanta", "given" : "Ans Budi", "non-dropping-particle" : "", "parse-names" : false, "suffix" : "" }, { "dropping-particle" : "", "family" : "Astawan", "given" : "Made", "non-dropping-particle" : "", "parse-names" : false, "suffix" : "" } ], "container-title" : "Jurnal Veteriner", "id" : "ITEM-1", "issue" : "2", "issued" : { "date-parts" : [ [ "2012" ] ] }, "page" : "125-135", "title" : "Tepung Rumput Laut (Eucheuma Cottonii) Menaikkan Level Superoksida Dismutase (Sod) Ginjal Tikus Hiperkolesterolemia", "type" : "article-journal", "volume" : "12" }, "uris" : [ "http://www.mendeley.com/documents/?uuid=3c3e7d74-af7c-4732-a152-a71f9fad3d07" ] } ], "mendeley" : { "formattedCitation" : "(Wresdiyati, Hartanta, &amp; Astawan, 2012)", "plainTextFormattedCitation" : "(Wresdiyati, Hartanta, &amp; Astawan, 2012)", "previouslyFormattedCitation" : "(Wresdiyati, Hartanta, &amp; Astawan, 2012)"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(Wresdiyati, Hartanta, &amp; Astawan, 2012)</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id-ID"/>
        </w:rPr>
        <w:t xml:space="preserve"> Hasil penelitian ini sejalan dengan peneltian mengenai efek pemberian ekstrak sorgum terhadap profil lipid pada tikus yang diberikan diet tinggi lemak. Pemberian ekstrak sorgum sebanyak 5% dapat menurunkan kadar LDL</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"DOI" : "10.4162/nrp.2012.6.4.322", "ISSN" : "1976-1457", "author" : [ { "dropping-particle" : "", "family" : "Park", "given" : "Ji Heon", "non-dropping-particle" : "", "parse-names" : false, "suffix" : "" }, { "dropping-particle" : "", "family" : "Lee", "given" : "Sun Hee", "non-dropping-particle" : "", "parse-names" : false, "suffix" : "" }, { "dropping-particle" : "", "family" : "Chung", "given" : "Ill-Min", "non-dropping-particle" : "", "parse-names" : false, "suffix" : "" }, { "dropping-particle" : "", "family" : "Park", "given" : "Yongsoon", "non-dropping-particle" : "", "parse-names" : false, "suffix" : "" } ], "container-title" : "Nutrition Research and Practice", "id" : "ITEM-1", "issue" : "4", "issued" : { "date-parts" : [ [ "2012" ] ] }, "page" : "322", "title" : "Sorghum extract exerts an anti-diabetic effect by improving insulin sensitivity via PPAR-\u03b3 in mice fed a high-fat diet", "type" : "article-journal", "volume" : "6" }, "uris" : [ "http://www.mendeley.com/documents/?uuid=a2b9b614-7a0b-4fcb-813a-e3f4393d43cb" ] } ], "mendeley" : { "formattedCitation" : "(Park et al., 2012)", "plainTextFormattedCitation" : "(Park et al., 2012)", "previouslyFormattedCitation" : "(Park et al., 2012)"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(Park et al., 2012)</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id-ID"/>
        </w:rPr>
        <w:t xml:space="preserve"> Biasanya peningkatan HDL juga berkaitan dengan penurunan LDL, hal itu dapat disebabkan oleh aktivitas enzim lipase hepar. Enzim lipase hepar berperan dalam proses katabolisme atau perombakan HDL, pada kondisi turunnya kadar LDL aktivitas enzim lipase juga menurun, karena proses katabolisme turun hal itu menyebabkan HDL naik</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"Manurung", "given" : "Elvi", "non-dropping-particle" : "", "parse-names" : false, "suffix" : "" } ], "id" : "ITEM-1", "issued" : { "date-parts" : [ [ "2003" ] ] }, "publisher" : "Universitas Indonesia", "title" : "Hubungan antara Asupan Lemak Tak Jenuh Tunggal dengan Kadar Kolesterol Hight Density Lipoprotein Plasma penderita Penyakit Jantung Koroner.", "type" : "thesis" }, "uris" : [ "http://www.mendeley.com/documents/?uuid=ec42684a-1f4a-475e-9c9e-f3a222e55285" ] } ], "mendeley" : { "formattedCitation" : "(Manurung, 2003)", "plainTextFormattedCitation" : "(Manurung, 2003)", "previouslyFormattedCitation" : "(Manurung, 2003)"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(Manurung, 2003)</w:t>
      </w:r>
      <w:r w:rsidRPr="00295A79">
        <w:rPr>
          <w:rFonts w:ascii="Cambria" w:hAnsi="Cambria" w:cstheme="minorHAnsi"/>
          <w:sz w:val="22"/>
          <w:szCs w:val="22"/>
          <w:lang w:val="id-ID"/>
        </w:rPr>
        <w:fldChar w:fldCharType="end"/>
      </w:r>
      <w:r>
        <w:rPr>
          <w:rFonts w:ascii="Cambria" w:hAnsi="Cambria" w:cstheme="minorHAnsi"/>
          <w:sz w:val="22"/>
          <w:szCs w:val="22"/>
          <w:lang w:val="en-US"/>
        </w:rPr>
        <w:t>.</w:t>
      </w:r>
    </w:p>
    <w:p w14:paraId="3CA8C804" w14:textId="77777777" w:rsidR="00AE2391" w:rsidRPr="00295A79" w:rsidRDefault="00AE2391" w:rsidP="00AE2391">
      <w:pPr>
        <w:spacing w:after="0" w:line="240" w:lineRule="auto"/>
        <w:jc w:val="both"/>
        <w:rPr>
          <w:rFonts w:ascii="Cambria" w:hAnsi="Cambria" w:cstheme="minorHAnsi"/>
          <w:color w:val="000000" w:themeColor="text1"/>
          <w:lang w:val="id-ID"/>
        </w:rPr>
      </w:pPr>
    </w:p>
    <w:p w14:paraId="320E0BEF" w14:textId="77777777" w:rsidR="00AE2391" w:rsidRPr="00295A79" w:rsidRDefault="00AE2391" w:rsidP="00AE2391">
      <w:pPr>
        <w:spacing w:after="0" w:line="240" w:lineRule="auto"/>
        <w:jc w:val="both"/>
        <w:rPr>
          <w:rFonts w:ascii="Cambria" w:hAnsi="Cambria" w:cstheme="minorHAnsi"/>
          <w:b/>
          <w:bCs/>
          <w:color w:val="000000" w:themeColor="text1"/>
          <w:lang w:val="id-ID"/>
        </w:rPr>
      </w:pPr>
      <w:r w:rsidRPr="00295A79">
        <w:rPr>
          <w:rFonts w:ascii="Cambria" w:hAnsi="Cambria" w:cstheme="minorHAnsi"/>
          <w:b/>
          <w:bCs/>
          <w:color w:val="000000" w:themeColor="text1"/>
          <w:lang w:val="id-ID"/>
        </w:rPr>
        <w:t>Indeks Aterogenik Plasma Sebelum dan Setelah Pemberian Tepung Sorgum</w:t>
      </w:r>
    </w:p>
    <w:p w14:paraId="5FEC986E" w14:textId="77777777" w:rsidR="00AE2391" w:rsidRPr="00734D57" w:rsidRDefault="00AE2391" w:rsidP="00AE2391">
      <w:pPr>
        <w:pStyle w:val="Default"/>
        <w:ind w:firstLine="720"/>
        <w:jc w:val="both"/>
        <w:rPr>
          <w:rFonts w:ascii="Cambria" w:hAnsi="Cambria" w:cstheme="minorHAnsi"/>
          <w:sz w:val="22"/>
          <w:szCs w:val="22"/>
          <w:lang w:val="en-US"/>
        </w:rPr>
      </w:pPr>
      <w:r w:rsidRPr="00295A79">
        <w:rPr>
          <w:rFonts w:ascii="Cambria" w:hAnsi="Cambria" w:cstheme="minorHAnsi"/>
          <w:color w:val="000000" w:themeColor="text1"/>
          <w:sz w:val="22"/>
          <w:szCs w:val="22"/>
          <w:lang w:val="id-ID"/>
        </w:rPr>
        <w:t>Terdapat perbedaan yang signifikan nilai indeks aterogenik plasma (IAP) sebelum dan sesudah intervensi (</w:t>
      </w:r>
      <w:r w:rsidRPr="00295A79">
        <w:rPr>
          <w:rFonts w:ascii="Cambria" w:hAnsi="Cambria" w:cstheme="minorHAnsi"/>
          <w:i/>
          <w:iCs/>
          <w:color w:val="000000" w:themeColor="text1"/>
          <w:sz w:val="22"/>
          <w:szCs w:val="22"/>
          <w:lang w:val="id-ID"/>
        </w:rPr>
        <w:t>p</w:t>
      </w:r>
      <w:r w:rsidRPr="00295A79">
        <w:rPr>
          <w:rFonts w:ascii="Cambria" w:hAnsi="Cambria" w:cstheme="minorHAnsi"/>
          <w:color w:val="000000" w:themeColor="text1"/>
          <w:sz w:val="22"/>
          <w:szCs w:val="22"/>
          <w:lang w:val="id-ID"/>
        </w:rPr>
        <w:t xml:space="preserve">&lt;0,05) pada masing-masing kelompok. Kelompok (K-) dan (K+) mengalami peningkatan nilai IAP, sedangkan pada kelompok (P) terjadi penurunan nilai IAP. </w:t>
      </w:r>
      <w:r w:rsidRPr="00295A79">
        <w:rPr>
          <w:rFonts w:ascii="Cambria" w:hAnsi="Cambria" w:cstheme="minorHAnsi"/>
          <w:sz w:val="22"/>
          <w:szCs w:val="22"/>
          <w:lang w:val="id-ID"/>
        </w:rPr>
        <w:t xml:space="preserve">Peningkatan kadar trigliserida dan menurunnya kadar HDL (Tabel </w:t>
      </w:r>
      <w:r w:rsidRPr="00295A79">
        <w:rPr>
          <w:rFonts w:ascii="Cambria" w:hAnsi="Cambria" w:cstheme="minorHAnsi"/>
          <w:sz w:val="22"/>
          <w:szCs w:val="22"/>
          <w:lang w:val="en-US"/>
        </w:rPr>
        <w:t>4</w:t>
      </w:r>
      <w:r w:rsidRPr="00295A79">
        <w:rPr>
          <w:rFonts w:ascii="Cambria" w:hAnsi="Cambria" w:cstheme="minorHAnsi"/>
          <w:sz w:val="22"/>
          <w:szCs w:val="22"/>
          <w:lang w:val="id-ID"/>
        </w:rPr>
        <w:t xml:space="preserve">) dalam darah pada tikus kelompok (K+) menyebabkan nilai IAP kelompok tersebut </w:t>
      </w:r>
      <w:r w:rsidRPr="00295A79">
        <w:rPr>
          <w:rFonts w:ascii="Cambria" w:hAnsi="Cambria" w:cstheme="minorHAnsi"/>
          <w:sz w:val="22"/>
          <w:szCs w:val="22"/>
          <w:lang w:val="id-ID"/>
        </w:rPr>
        <w:lastRenderedPageBreak/>
        <w:t>meningkat dan termasuk dalam kategori risiko tinggi penyakit jantung koroner (PJK). Pada tikus kelompok perlakuan (P) tidak terjadi peningkatan IAP meskipun mengalami diabetes diduga karena pengaruh pemberian intervensi tepung sorgum. Tepung sorgum memiliki nilai indeks glikemik yang tergolong rendah yaitu sebesar 36. Konsumsi pakan yang mengandung karbohidrat dengan indeks glikemik rendah dapat memperbaiki kadar glukosa darah pada tikus. Kandungan serat pangan total pada tepung sorgum sebesar 8,83 g/100 g terdiri dari 6,44 g serat tidak larut dan 2,39 g serat larut. Serat dalam tepung sorgum lebih besar bila dibandingkan kandungan serat pada pakan standar sebesar 6 g/100 g</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"Salimi", "given" : "Yuszda K.", "non-dropping-particle" : "", "parse-names" : false, "suffix" : "" } ], "id" : "ITEM-1", "issued" : { "date-parts" : [ [ "2012" ] ] }, "number-of-pages" : "156", "publisher" : "Institut Pertanian Bogor", "title" : "Peranan Ekstrak dan Tepung Sorgum (Sorghum bicolor L.) dalam Penghambatan Kanker secara in vitro dan in vivo pada Mencit BALB/c", "type" : "thesis" }, "uris" : [ "http://www.mendeley.com/documents/?uuid=2488ab01-dca5-46ee-97a2-b7fff1e7ecf7" ] } ], "mendeley" : { "formattedCitation" : "(Salimi, 2012)", "plainTextFormattedCitation" : "(Salimi, 2012)", "previouslyFormattedCitation" : "(Salimi, 2012)"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(Salimi, 2012)</w:t>
      </w:r>
      <w:r w:rsidRPr="00295A79">
        <w:rPr>
          <w:rFonts w:ascii="Cambria" w:hAnsi="Cambria" w:cstheme="minorHAnsi"/>
          <w:sz w:val="22"/>
          <w:szCs w:val="22"/>
          <w:lang w:val="id-ID"/>
        </w:rPr>
        <w:fldChar w:fldCharType="end"/>
      </w:r>
      <w:r>
        <w:rPr>
          <w:rFonts w:ascii="Cambria" w:hAnsi="Cambria" w:cstheme="minorHAnsi"/>
          <w:sz w:val="22"/>
          <w:szCs w:val="22"/>
          <w:lang w:val="en-US"/>
        </w:rPr>
        <w:t>.</w:t>
      </w:r>
    </w:p>
    <w:p w14:paraId="12A08E2D" w14:textId="77777777" w:rsidR="00AE2391" w:rsidRPr="00295A79" w:rsidRDefault="00AE2391" w:rsidP="00AE2391">
      <w:pPr>
        <w:pStyle w:val="Default"/>
        <w:ind w:firstLine="720"/>
        <w:jc w:val="both"/>
        <w:rPr>
          <w:rFonts w:ascii="Cambria" w:hAnsi="Cambria" w:cstheme="minorHAnsi"/>
          <w:sz w:val="22"/>
          <w:szCs w:val="22"/>
          <w:lang w:val="id-ID"/>
        </w:rPr>
      </w:pPr>
      <w:r w:rsidRPr="00295A79">
        <w:rPr>
          <w:rFonts w:ascii="Cambria" w:hAnsi="Cambria" w:cstheme="minorHAnsi"/>
          <w:sz w:val="22"/>
          <w:szCs w:val="22"/>
          <w:lang w:val="id-ID"/>
        </w:rPr>
        <w:t>Serat pangan larut dapat menyerap cairan dan membentuk gel di dalam lambung. Gel tersebut akan memperlambat gerak peristaltik dinding usus halus menuju daerah penyerapan sehingga terjadi penurunan kadar glukosa darah</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"Gropper", "given" : "Sareen S.", "non-dropping-particle" : "", "parse-names" : false, "suffix" : "" }, { "dropping-particle" : "", "family" : "Smith", "given" : "Jack L.", "non-dropping-particle" : "", "parse-names" : false, "suffix" : "" } ], "edition" : "5th editio", "id" : "ITEM-1", "issued" : { "date-parts" : [ [ "2018" ] ] }, "number-of-pages" : "624", "publisher" : "Cengage Learning", "publisher-place" : "Wadsworth", "title" : "Advanced Nutrition and Human Metabolism.", "type" : "book" }, "uris" : [ "http://www.mendeley.com/documents/?uuid=1e63c8b4-3787-4636-ad02-bbbae314804a" ] } ], "mendeley" : { "formattedCitation" : "(Gropper &amp; Smith, 2018)", "plainTextFormattedCitation" : "(Gropper &amp; Smith, 2018)", "previouslyFormattedCitation" : "(Gropper &amp; Smith, 2018)"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(Gropper &amp; Smith, 2018)</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id-ID"/>
        </w:rPr>
        <w:t xml:space="preserve"> Serat pangan tidak larut akan menuju ke usus besar dan diubah menjadi substrat yang dapat difermentasikan oleh bakteri di usus besar. Hasil dari fermentasi (asam-asam lemak rantai pendek jenis asetat, propionat dan butirat) tersebut akan diserap kembali ke dalam aliran darah. Asetat akan menghambat proses utilisasi glukosa di jaringan dan meningkatkan sensitivitas insulin dengan cara menurunkan asam-asam lemak bebas di aliran darah. Propionat akan menghambat kerja HMG CoA reduktase sehingga mobilisasi lemak terhambat dan tidak terjadi proses glukoneogenesis di hati</w:t>
      </w:r>
      <w:r>
        <w:rPr>
          <w:rFonts w:ascii="Cambria" w:hAnsi="Cambria" w:cstheme="minorHAnsi"/>
          <w:sz w:val="22"/>
          <w:szCs w:val="22"/>
          <w:lang w:val="en-US"/>
        </w:rPr>
        <w:t xml:space="preserve"> </w:t>
      </w:r>
      <w:r w:rsidRPr="00295A79">
        <w:rPr>
          <w:rFonts w:ascii="Cambria" w:hAnsi="Cambria" w:cstheme="minorHAnsi"/>
          <w:sz w:val="22"/>
          <w:szCs w:val="22"/>
          <w:lang w:val="id-ID"/>
        </w:rPr>
        <w:fldChar w:fldCharType="begin" w:fldLock="1"/>
      </w:r>
      <w:r>
        <w:rPr>
          <w:rFonts w:ascii="Cambria" w:hAnsi="Cambria" w:cstheme="minorHAnsi"/>
          <w:sz w:val="22"/>
          <w:szCs w:val="22"/>
          <w:lang w:val="id-ID"/>
        </w:rPr>
        <w:instrText>ADDIN CSL_CITATION { "citationItems" : [ { "id" : "ITEM-1", "itemData" : { "author" : [ { "dropping-particle" : "", "family" : "Gropper", "given" : "Sareen S.", "non-dropping-particle" : "", "parse-names" : false, "suffix" : "" }, { "dropping-particle" : "", "family" : "Smith", "given" : "Jack L.", "non-dropping-particle" : "", "parse-names" : false, "suffix" : "" } ], "edition" : "5th editio", "id" : "ITEM-1", "issued" : { "date-parts" : [ [ "2018" ] ] }, "number-of-pages" : "624", "publisher" : "Cengage Learning", "publisher-place" : "Wadsworth", "title" : "Advanced Nutrition and Human Metabolism.", "type" : "book" }, "uris" : [ "http://www.mendeley.com/documents/?uuid=1e63c8b4-3787-4636-ad02-bbbae314804a" ] }, { "id" : "ITEM-2", "itemData" : { "DOI" : "10.1155/2016/2980406", "ISSN" : "2314-6745", "abstract" : "Objective. To assess the association of dietary fiber on current everyday diet and other dietary components with glycated hemoglobin levels (HbA1c), glucose, lipids profile, and body weight body weight, in patients with type 2 diabetes. Methods. A cross-sectional survey of 395 patients with type 2 diabetes was performed. HbA1c, fasting glucose, triglycerides, and lipids profile were measured. Weight, waist circumference, blood pressure, and body composition were measured. Everyday diet with a semiquantitative food frequency questionnaire was evaluated. ANOVA, Kruskal-Wallis, chi-square tests and multivariate logistic regression were used in statistical analysis. Results. Higher fiber intake was associated with a low HbA1c, high HDL-c levels, low weight, and waist circumference. The highest tertile of calories consumption was associated with a higher fasting glucose level and weight. The highest tertile of carbohydrate consumption was associated with a lower weight. The lowest tertile of total fat and saturated fat was associated with the highest tertile of HDL-c levels, and lower saturated fat intake was associated with lower weight ( p &lt; 0.05 ) . Conclusions. A higher content of fiber in the diet reduces HbA1c and triglycerides, while improving HDL-c levels. Increasing fiber consumption while lowering calorie consumption seems to be an appropriate strategy to reduce body weight and promote blood glucose control.", "author" : [ { "dropping-particle" : "", "family" : "Vel\u00e1zquez-L\u00f3pez", "given" : "Lubia", "non-dropping-particle" : "", "parse-names" : false, "suffix" : "" }, { "dropping-particle" : "", "family" : "Mu\u00f1oz-Torres", "given" : "Abril Violeta", "non-dropping-particle" : "", "parse-names" : false, "suffix" : "" }, { "dropping-particle" : "", "family" : "Garc\u00eda-Pe\u00f1a", "given" : "Carmen", "non-dropping-particle" : "", "parse-names" : false, "suffix" : "" }, { "dropping-particle" : "", "family" : "L\u00f3pez-Alarc\u00f3n", "given" : "Mardia", "non-dropping-particle" : "", "parse-names" : false, "suffix" : "" }, { "dropping-particle" : "", "family" : "Islas-Andrade", "given" : "Sergio", "non-dropping-particle" : "", "parse-names" : false, "suffix" : "" }, { "dropping-particle" : "", "family" : "Escobedo-de la Pe\u00f1a", "given" : "Jorge", "non-dropping-particle" : "", "parse-names" : false, "suffix" : "" } ], "container-title" : "Journal of Diabetes Research", "id" : "ITEM-2", "issued" : { "date-parts" : [ [ "2016" ] ] }, "page" : "1-9", "title" : "Fiber in Diet Is Associated with Improvement of Glycated Hemoglobin and Lipid Profile in Mexican Patients with Type 2 Diabetes", "type" : "article-journal", "volume" : "2016" }, "uris" : [ "http://www.mendeley.com/documents/?uuid=d7c0f1de-6003-480e-a18b-38518b7f783e" ] } ], "mendeley" : { "formattedCitation" : "(Gropper &amp; Smith, 2018; Vel\u00e1zquez-L\u00f3pez et al., 2016)", "plainTextFormattedCitation" : "(Gropper &amp; Smith, 2018; Vel\u00e1zquez-L\u00f3pez et al., 2016)", "previouslyFormattedCitation" : "(Gropper &amp; Smith, 2018; Vel\u00e1zquez-L\u00f3pez et al., 2016)" }, "properties" : { "noteIndex" : 0 }, "schema" : "https://github.com/citation-style-language/schema/raw/master/csl-citation.json" }</w:instrText>
      </w:r>
      <w:r w:rsidRPr="00295A79">
        <w:rPr>
          <w:rFonts w:ascii="Cambria" w:hAnsi="Cambria" w:cstheme="minorHAnsi"/>
          <w:sz w:val="22"/>
          <w:szCs w:val="22"/>
          <w:lang w:val="id-ID"/>
        </w:rPr>
        <w:fldChar w:fldCharType="separate"/>
      </w:r>
      <w:r w:rsidRPr="00295A79">
        <w:rPr>
          <w:rFonts w:ascii="Cambria" w:hAnsi="Cambria" w:cstheme="minorHAnsi"/>
          <w:noProof/>
          <w:sz w:val="22"/>
          <w:szCs w:val="22"/>
          <w:lang w:val="id-ID"/>
        </w:rPr>
        <w:t>(Gropper &amp; Smith, 2018; Velázquez-López et al., 2016)</w:t>
      </w:r>
      <w:r w:rsidRPr="00295A79">
        <w:rPr>
          <w:rFonts w:ascii="Cambria" w:hAnsi="Cambria" w:cstheme="minorHAnsi"/>
          <w:sz w:val="22"/>
          <w:szCs w:val="22"/>
          <w:lang w:val="id-ID"/>
        </w:rPr>
        <w:fldChar w:fldCharType="end"/>
      </w:r>
      <w:r>
        <w:rPr>
          <w:rFonts w:ascii="Cambria" w:hAnsi="Cambria" w:cstheme="minorHAnsi"/>
          <w:sz w:val="22"/>
          <w:szCs w:val="22"/>
          <w:lang w:val="en-US"/>
        </w:rPr>
        <w:t>.</w:t>
      </w:r>
      <w:r w:rsidRPr="00295A79">
        <w:rPr>
          <w:rFonts w:ascii="Cambria" w:hAnsi="Cambria" w:cstheme="minorHAnsi"/>
          <w:sz w:val="22"/>
          <w:szCs w:val="22"/>
          <w:lang w:val="id-ID"/>
        </w:rPr>
        <w:t xml:space="preserve"> Mekanisme ini menyebabkan penurunan kadar TG dan terjadi peningkatan kadar HDL dalam darah sehingga nilai IAP tikus pada kelompok </w:t>
      </w:r>
      <w:r w:rsidRPr="00295A79">
        <w:rPr>
          <w:rFonts w:ascii="Cambria" w:hAnsi="Cambria" w:cstheme="minorHAnsi"/>
          <w:sz w:val="22"/>
          <w:szCs w:val="22"/>
          <w:lang w:val="en-US"/>
        </w:rPr>
        <w:t>(</w:t>
      </w:r>
      <w:r w:rsidRPr="00295A79">
        <w:rPr>
          <w:rFonts w:ascii="Cambria" w:hAnsi="Cambria" w:cstheme="minorHAnsi"/>
          <w:sz w:val="22"/>
          <w:szCs w:val="22"/>
          <w:lang w:val="id-ID"/>
        </w:rPr>
        <w:t>P</w:t>
      </w:r>
      <w:r w:rsidRPr="00295A79">
        <w:rPr>
          <w:rFonts w:ascii="Cambria" w:hAnsi="Cambria" w:cstheme="minorHAnsi"/>
          <w:sz w:val="22"/>
          <w:szCs w:val="22"/>
          <w:lang w:val="en-US"/>
        </w:rPr>
        <w:t>)</w:t>
      </w:r>
      <w:r w:rsidRPr="00295A79">
        <w:rPr>
          <w:rFonts w:ascii="Cambria" w:hAnsi="Cambria" w:cstheme="minorHAnsi"/>
          <w:sz w:val="22"/>
          <w:szCs w:val="22"/>
          <w:lang w:val="id-ID"/>
        </w:rPr>
        <w:t xml:space="preserve"> mengalami penurunan sebesar </w:t>
      </w:r>
      <w:r w:rsidRPr="00295A79">
        <w:rPr>
          <w:rFonts w:ascii="Cambria" w:hAnsi="Cambria" w:cstheme="minorHAnsi"/>
          <w:sz w:val="22"/>
          <w:szCs w:val="22"/>
          <w:lang w:val="en-US"/>
        </w:rPr>
        <w:t>0,45</w:t>
      </w:r>
      <w:r w:rsidRPr="00295A79">
        <w:rPr>
          <w:rFonts w:ascii="Cambria" w:hAnsi="Cambria" w:cstheme="minorHAnsi"/>
          <w:sz w:val="22"/>
          <w:szCs w:val="22"/>
          <w:lang w:val="id-ID"/>
        </w:rPr>
        <w:t xml:space="preserve"> setelah pemberian intervensi tepung sorgum (</w:t>
      </w:r>
      <w:proofErr w:type="spellStart"/>
      <w:r w:rsidRPr="00295A79">
        <w:rPr>
          <w:rFonts w:ascii="Cambria" w:hAnsi="Cambria" w:cstheme="minorHAnsi"/>
          <w:sz w:val="22"/>
          <w:szCs w:val="22"/>
          <w:lang w:val="en-US"/>
        </w:rPr>
        <w:t>Tabel</w:t>
      </w:r>
      <w:proofErr w:type="spellEnd"/>
      <w:r w:rsidRPr="00295A79">
        <w:rPr>
          <w:rFonts w:ascii="Cambria" w:hAnsi="Cambria" w:cstheme="minorHAnsi"/>
          <w:sz w:val="22"/>
          <w:szCs w:val="22"/>
          <w:lang w:val="en-US"/>
        </w:rPr>
        <w:t xml:space="preserve"> 4</w:t>
      </w:r>
      <w:r w:rsidRPr="00295A79">
        <w:rPr>
          <w:rFonts w:ascii="Cambria" w:hAnsi="Cambria" w:cstheme="minorHAnsi"/>
          <w:sz w:val="22"/>
          <w:szCs w:val="22"/>
          <w:lang w:val="id-ID"/>
        </w:rPr>
        <w:t xml:space="preserve">). </w:t>
      </w:r>
    </w:p>
    <w:p w14:paraId="347B2280" w14:textId="77777777" w:rsidR="00AE2391" w:rsidRDefault="00AE2391" w:rsidP="00AE2391">
      <w:pPr>
        <w:pBdr>
          <w:top w:val="nil"/>
          <w:left w:val="nil"/>
          <w:bottom w:val="nil"/>
          <w:right w:val="nil"/>
          <w:between w:val="nil"/>
        </w:pBdr>
        <w:spacing w:after="0" w:line="240" w:lineRule="auto"/>
        <w:ind w:firstLine="567"/>
        <w:jc w:val="both"/>
        <w:rPr>
          <w:rFonts w:ascii="Cambria" w:eastAsia="Cambria" w:hAnsi="Cambria" w:cs="Cambria"/>
        </w:rPr>
      </w:pPr>
      <w:r w:rsidRPr="00295A79">
        <w:rPr>
          <w:rFonts w:ascii="Cambria" w:hAnsi="Cambria" w:cstheme="minorHAnsi"/>
          <w:lang w:val="id-ID"/>
        </w:rPr>
        <w:t>Hasil ini sejalan dengan penelitian tentang pengaruh sorgum terhadap profil lipid dan aktivitas antioksidan pada tikus hiperlipidemia (</w:t>
      </w:r>
      <w:r w:rsidRPr="00295A79">
        <w:rPr>
          <w:rFonts w:ascii="Cambria" w:hAnsi="Cambria" w:cstheme="minorHAnsi"/>
          <w:i/>
          <w:iCs/>
          <w:lang w:val="id-ID"/>
        </w:rPr>
        <w:t>in vitro and in vivo studies</w:t>
      </w:r>
      <w:r w:rsidRPr="00295A79">
        <w:rPr>
          <w:rFonts w:ascii="Cambria" w:hAnsi="Cambria" w:cstheme="minorHAnsi"/>
          <w:lang w:val="id-ID"/>
        </w:rPr>
        <w:t>) yang menunjukkan hasil bahwa sorgum dapat menurunkan kadar trigliserida dan meningkatkan kadar kolesterol HDL sehingga dapat mengurangi risiko penyakit kardiovaskular</w:t>
      </w:r>
      <w:r>
        <w:rPr>
          <w:rFonts w:ascii="Cambria" w:hAnsi="Cambria" w:cstheme="minorHAnsi"/>
        </w:rPr>
        <w:t xml:space="preserve"> </w:t>
      </w:r>
      <w:r w:rsidRPr="00295A79">
        <w:rPr>
          <w:rFonts w:ascii="Cambria" w:hAnsi="Cambria" w:cstheme="minorHAnsi"/>
          <w:lang w:val="id-ID"/>
        </w:rPr>
        <w:fldChar w:fldCharType="begin" w:fldLock="1"/>
      </w:r>
      <w:r>
        <w:rPr>
          <w:rFonts w:ascii="Cambria" w:hAnsi="Cambria" w:cstheme="minorHAnsi"/>
          <w:lang w:val="id-ID"/>
        </w:rPr>
        <w:instrText>ADDIN CSL_CITATION { "citationItems" : [ { "id" : "ITEM-1", "itemData" : { "DOI" : "10.1155/2015/164725", "ISSN" : "2314-6133", "abstract" : "The aim of this study was to compare in vitro the antioxidant potential of sorghum kafirin and sorghum flour and their influence on lipids and antioxidant capacity in rats. The antioxidant activity in sorghum kafirin extract measured by the DPPH and TEAC methods was increased 30 and 65 times, respectively, compared to that of its counterpart, sorghum flour. According to electrophoresis assay, the kafirins tert -butanol extract showed a high proportion of \u03b1 -kafirin monomers, and its amino acid composition revealed higher hydrophobic amino acid content such as alanine, isoleucine, leucine, tyrosine and phenylalanine than sorghum flour extract. Diets supplemented with sorghum kafirin extract have improved lipid metabolism and increased the serum antioxidant potential (67%) especially in rats fed with added cholesterol. The bioactive peptides generated from kafirin in vivo hydrolysis appear to be associated with the positive effect on serum lipids and antioxidant activity. According to these results, sorghum kafirin extract at the levels used in this study apparently could be used for prevention of atherosclerosis and other chronic diseases.", "author" : [ { "dropping-particle" : "", "family" : "Ort\u00edz Cruz", "given" : "Raquel A.", "non-dropping-particle" : "", "parse-names" : false, "suffix" : "" }, { "dropping-particle" : "", "family" : "C\u00e1rdenas L\u00f3pez", "given" : "Jos\u00e9 L.", "non-dropping-particle" : "", "parse-names" : false, "suffix" : "" }, { "dropping-particle" : "", "family" : "Gonz\u00e1lez Aguilar", "given" : "Gustavo A.", "non-dropping-particle" : "", "parse-names" : false, "suffix" : "" }, { "dropping-particle" : "", "family" : "Astiazar\u00e1n Garc\u00eda", "given" : "Humberto", "non-dropping-particle" : "", "parse-names" : false, "suffix" : "" }, { "dropping-particle" : "", "family" : "Gorinstein", "given" : "Shela", "non-dropping-particle" : "", "parse-names" : false, "suffix" : "" }, { "dropping-particle" : "", "family" : "Canett Romero", "given" : "Rafael", "non-dropping-particle" : "", "parse-names" : false, "suffix" : "" }, { "dropping-particle" : "", "family" : "Robles S\u00e1nchez", "given" : "Maribel", "non-dropping-particle" : "", "parse-names" : false, "suffix" : "" } ], "container-title" : "BioMed Research International", "id" : "ITEM-1", "issued" : { "date-parts" : [ [ "2015" ] ] }, "page" : "1-8", "title" : "Influence of Sorghum Kafirin on Serum Lipid Profile and Antioxidant Activity in Hyperlipidemic Rats ( In Vitro and In Vivo Studies)", "type" : "article-journal", "volume" : "2015" }, "uris" : [ "http://www.mendeley.com/documents/?uuid=541dc391-34a0-4699-bebf-2d043a863e67" ] } ], "mendeley" : { "formattedCitation" : "(Ort\u00edz Cruz et al., 2015)", "plainTextFormattedCitation" : "(Ort\u00edz Cruz et al., 2015)", "previouslyFormattedCitation" : "(Ort\u00edz Cruz et al., 2015)" }, "properties" : { "noteIndex" : 0 }, "schema" : "https://github.com/citation-style-language/schema/raw/master/csl-citation.json" }</w:instrText>
      </w:r>
      <w:r w:rsidRPr="00295A79">
        <w:rPr>
          <w:rFonts w:ascii="Cambria" w:hAnsi="Cambria" w:cstheme="minorHAnsi"/>
          <w:lang w:val="id-ID"/>
        </w:rPr>
        <w:fldChar w:fldCharType="separate"/>
      </w:r>
      <w:r w:rsidRPr="00295A79">
        <w:rPr>
          <w:rFonts w:ascii="Cambria" w:hAnsi="Cambria" w:cstheme="minorHAnsi"/>
          <w:noProof/>
          <w:lang w:val="id-ID"/>
        </w:rPr>
        <w:t>(Ortíz Cruz et al., 2015)</w:t>
      </w:r>
      <w:r w:rsidRPr="00295A79">
        <w:rPr>
          <w:rFonts w:ascii="Cambria" w:hAnsi="Cambria" w:cstheme="minorHAnsi"/>
          <w:lang w:val="id-ID"/>
        </w:rPr>
        <w:fldChar w:fldCharType="end"/>
      </w:r>
      <w:r>
        <w:rPr>
          <w:rFonts w:ascii="Cambria" w:hAnsi="Cambria" w:cstheme="minorHAnsi"/>
        </w:rPr>
        <w:t>.</w:t>
      </w:r>
      <w:r w:rsidRPr="00295A79">
        <w:rPr>
          <w:rFonts w:ascii="Cambria" w:hAnsi="Cambria" w:cstheme="minorHAnsi"/>
          <w:lang w:val="id-ID"/>
        </w:rPr>
        <w:t xml:space="preserve"> Pada kelompok perlakuan meskipun terjadi penurunan nilai IAP namun masih memiliki risiko penyakit jantung koroner dengan kategori </w:t>
      </w:r>
      <w:r w:rsidRPr="00295A79">
        <w:rPr>
          <w:rFonts w:ascii="Cambria" w:hAnsi="Cambria" w:cstheme="minorHAnsi"/>
          <w:lang w:val="id-ID"/>
        </w:rPr>
        <w:t xml:space="preserve">sedang karena tikus kelompok (P) mengalami diabetes. Indeks aterogenik plasma (IAP) pada kelompok (K-) mengalami peningkatan secara signifikan karena mengalami peningkatan kadar trigliserida dan penurunan kadar kolesterol HDL (Tabel </w:t>
      </w:r>
      <w:r w:rsidRPr="00295A79">
        <w:rPr>
          <w:rFonts w:ascii="Cambria" w:hAnsi="Cambria" w:cstheme="minorHAnsi"/>
        </w:rPr>
        <w:t>4</w:t>
      </w:r>
      <w:r w:rsidRPr="00295A79">
        <w:rPr>
          <w:rFonts w:ascii="Cambria" w:hAnsi="Cambria" w:cstheme="minorHAnsi"/>
          <w:lang w:val="id-ID"/>
        </w:rPr>
        <w:t>) namun masih berada pada batas normal</w:t>
      </w:r>
      <w:r w:rsidRPr="00295A79">
        <w:rPr>
          <w:rFonts w:ascii="Cambria" w:hAnsi="Cambria" w:cstheme="minorHAnsi"/>
        </w:rPr>
        <w:t>.</w:t>
      </w:r>
      <w:r w:rsidRPr="00295A79">
        <w:rPr>
          <w:rFonts w:ascii="Cambria" w:eastAsia="Cambria" w:hAnsi="Cambria" w:cs="Cambria"/>
          <w:sz w:val="28"/>
          <w:szCs w:val="28"/>
        </w:rPr>
        <w:t xml:space="preserve"> </w:t>
      </w:r>
    </w:p>
    <w:p w14:paraId="72E74D48" w14:textId="77777777" w:rsidR="00AE2391" w:rsidRDefault="00AE2391" w:rsidP="00AE2391">
      <w:pPr>
        <w:spacing w:after="0" w:line="240" w:lineRule="auto"/>
        <w:jc w:val="both"/>
        <w:rPr>
          <w:rFonts w:ascii="Cambria" w:eastAsia="Cambria" w:hAnsi="Cambria" w:cs="Cambria"/>
        </w:rPr>
      </w:pPr>
    </w:p>
    <w:p w14:paraId="2E8CB99F" w14:textId="77777777" w:rsidR="00AE2391" w:rsidRDefault="00AE2391" w:rsidP="00AE2391">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Kesimpulan</w:t>
      </w:r>
    </w:p>
    <w:p w14:paraId="67B9C2FB" w14:textId="77777777" w:rsidR="00AE2391" w:rsidRPr="00295A79" w:rsidRDefault="00AE2391" w:rsidP="00AE2391">
      <w:pPr>
        <w:spacing w:after="0" w:line="240" w:lineRule="auto"/>
        <w:ind w:firstLine="720"/>
        <w:jc w:val="both"/>
        <w:rPr>
          <w:rFonts w:ascii="Cambria" w:eastAsia="Cambria" w:hAnsi="Cambria" w:cs="Cambria"/>
          <w:sz w:val="28"/>
          <w:szCs w:val="28"/>
        </w:rPr>
      </w:pPr>
      <w:r w:rsidRPr="00295A79">
        <w:rPr>
          <w:rFonts w:ascii="Cambria" w:hAnsi="Cambria" w:cstheme="minorHAnsi"/>
          <w:color w:val="000000" w:themeColor="text1"/>
          <w:lang w:val="id-ID"/>
        </w:rPr>
        <w:t>Pemberian tepung sorgum berpengaruh pada profil lipid dan indeks aterogenik plasma (IAP) pada tikus DM. Pemberian tepung sorgum dengan dosis 5 g/tikus/hari menurunkan LDL, trigliserida, kolesterol total, dan IAP, serta menaikkan HDL pada tikus DM</w:t>
      </w:r>
      <w:r w:rsidRPr="00295A79">
        <w:rPr>
          <w:rFonts w:ascii="Cambria" w:hAnsi="Cambria" w:cstheme="minorHAnsi"/>
          <w:color w:val="000000" w:themeColor="text1"/>
        </w:rPr>
        <w:t xml:space="preserve">. </w:t>
      </w:r>
      <w:proofErr w:type="spellStart"/>
      <w:r w:rsidRPr="00295A79">
        <w:rPr>
          <w:rFonts w:ascii="Cambria" w:hAnsi="Cambria"/>
        </w:rPr>
        <w:t>Perlu</w:t>
      </w:r>
      <w:proofErr w:type="spellEnd"/>
      <w:r w:rsidRPr="00295A79">
        <w:rPr>
          <w:rFonts w:ascii="Cambria" w:hAnsi="Cambria"/>
        </w:rPr>
        <w:t xml:space="preserve"> </w:t>
      </w:r>
      <w:proofErr w:type="spellStart"/>
      <w:r w:rsidRPr="00295A79">
        <w:rPr>
          <w:rFonts w:ascii="Cambria" w:hAnsi="Cambria"/>
        </w:rPr>
        <w:t>dilakukan</w:t>
      </w:r>
      <w:proofErr w:type="spellEnd"/>
      <w:r w:rsidRPr="00295A79">
        <w:rPr>
          <w:rFonts w:ascii="Cambria" w:hAnsi="Cambria"/>
        </w:rPr>
        <w:t xml:space="preserve"> </w:t>
      </w:r>
      <w:proofErr w:type="spellStart"/>
      <w:r w:rsidRPr="00295A79">
        <w:rPr>
          <w:rFonts w:ascii="Cambria" w:hAnsi="Cambria"/>
        </w:rPr>
        <w:t>penelitian</w:t>
      </w:r>
      <w:proofErr w:type="spellEnd"/>
      <w:r w:rsidRPr="00295A79">
        <w:rPr>
          <w:rFonts w:ascii="Cambria" w:hAnsi="Cambria"/>
        </w:rPr>
        <w:t xml:space="preserve"> dan </w:t>
      </w:r>
      <w:proofErr w:type="spellStart"/>
      <w:r w:rsidRPr="00295A79">
        <w:rPr>
          <w:rFonts w:ascii="Cambria" w:hAnsi="Cambria"/>
        </w:rPr>
        <w:t>pengkajian</w:t>
      </w:r>
      <w:proofErr w:type="spellEnd"/>
      <w:r w:rsidRPr="00295A79">
        <w:rPr>
          <w:rFonts w:ascii="Cambria" w:hAnsi="Cambria"/>
        </w:rPr>
        <w:t xml:space="preserve"> </w:t>
      </w:r>
      <w:proofErr w:type="spellStart"/>
      <w:r w:rsidRPr="00295A79">
        <w:rPr>
          <w:rFonts w:ascii="Cambria" w:hAnsi="Cambria"/>
        </w:rPr>
        <w:t>untuk</w:t>
      </w:r>
      <w:proofErr w:type="spellEnd"/>
      <w:r w:rsidRPr="00295A79">
        <w:rPr>
          <w:rFonts w:ascii="Cambria" w:hAnsi="Cambria"/>
        </w:rPr>
        <w:t xml:space="preserve"> </w:t>
      </w:r>
      <w:proofErr w:type="spellStart"/>
      <w:r w:rsidRPr="00295A79">
        <w:rPr>
          <w:rFonts w:ascii="Cambria" w:hAnsi="Cambria"/>
        </w:rPr>
        <w:t>mengetahui</w:t>
      </w:r>
      <w:proofErr w:type="spellEnd"/>
      <w:r w:rsidRPr="00295A79">
        <w:rPr>
          <w:rFonts w:ascii="Cambria" w:hAnsi="Cambria"/>
        </w:rPr>
        <w:t xml:space="preserve"> </w:t>
      </w:r>
      <w:proofErr w:type="spellStart"/>
      <w:r w:rsidRPr="00295A79">
        <w:rPr>
          <w:rFonts w:ascii="Cambria" w:hAnsi="Cambria"/>
        </w:rPr>
        <w:t>pengaruh</w:t>
      </w:r>
      <w:proofErr w:type="spellEnd"/>
      <w:r w:rsidRPr="00295A79">
        <w:rPr>
          <w:rFonts w:ascii="Cambria" w:hAnsi="Cambria"/>
        </w:rPr>
        <w:t xml:space="preserve"> </w:t>
      </w:r>
      <w:proofErr w:type="spellStart"/>
      <w:r w:rsidRPr="00295A79">
        <w:rPr>
          <w:rFonts w:ascii="Cambria" w:hAnsi="Cambria"/>
        </w:rPr>
        <w:t>makanan</w:t>
      </w:r>
      <w:proofErr w:type="spellEnd"/>
      <w:r w:rsidRPr="00295A79">
        <w:rPr>
          <w:rFonts w:ascii="Cambria" w:hAnsi="Cambria"/>
        </w:rPr>
        <w:t xml:space="preserve"> </w:t>
      </w:r>
      <w:proofErr w:type="spellStart"/>
      <w:r w:rsidRPr="00295A79">
        <w:rPr>
          <w:rFonts w:ascii="Cambria" w:hAnsi="Cambria"/>
        </w:rPr>
        <w:t>olahan</w:t>
      </w:r>
      <w:proofErr w:type="spellEnd"/>
      <w:r w:rsidRPr="00295A79">
        <w:rPr>
          <w:rFonts w:ascii="Cambria" w:hAnsi="Cambria"/>
        </w:rPr>
        <w:t xml:space="preserve"> </w:t>
      </w:r>
      <w:proofErr w:type="spellStart"/>
      <w:r w:rsidRPr="00295A79">
        <w:rPr>
          <w:rFonts w:ascii="Cambria" w:hAnsi="Cambria"/>
        </w:rPr>
        <w:t>tepung</w:t>
      </w:r>
      <w:proofErr w:type="spellEnd"/>
      <w:r w:rsidRPr="00295A79">
        <w:rPr>
          <w:rFonts w:ascii="Cambria" w:hAnsi="Cambria"/>
        </w:rPr>
        <w:t xml:space="preserve"> </w:t>
      </w:r>
      <w:proofErr w:type="spellStart"/>
      <w:r w:rsidRPr="00295A79">
        <w:rPr>
          <w:rFonts w:ascii="Cambria" w:hAnsi="Cambria"/>
        </w:rPr>
        <w:t>sorgum</w:t>
      </w:r>
      <w:proofErr w:type="spellEnd"/>
      <w:r w:rsidRPr="00295A79">
        <w:rPr>
          <w:rFonts w:ascii="Cambria" w:hAnsi="Cambria"/>
        </w:rPr>
        <w:t xml:space="preserve"> </w:t>
      </w:r>
      <w:proofErr w:type="spellStart"/>
      <w:r w:rsidRPr="00295A79">
        <w:rPr>
          <w:rFonts w:ascii="Cambria" w:hAnsi="Cambria"/>
        </w:rPr>
        <w:t>terhadap</w:t>
      </w:r>
      <w:proofErr w:type="spellEnd"/>
      <w:r w:rsidRPr="00295A79">
        <w:rPr>
          <w:rFonts w:ascii="Cambria" w:hAnsi="Cambria"/>
        </w:rPr>
        <w:t xml:space="preserve"> </w:t>
      </w:r>
      <w:proofErr w:type="spellStart"/>
      <w:r w:rsidRPr="00295A79">
        <w:rPr>
          <w:rFonts w:ascii="Cambria" w:hAnsi="Cambria"/>
        </w:rPr>
        <w:t>profil</w:t>
      </w:r>
      <w:proofErr w:type="spellEnd"/>
      <w:r w:rsidRPr="00295A79">
        <w:rPr>
          <w:rFonts w:ascii="Cambria" w:hAnsi="Cambria"/>
        </w:rPr>
        <w:t xml:space="preserve"> lipid dan </w:t>
      </w:r>
      <w:proofErr w:type="spellStart"/>
      <w:r w:rsidRPr="00295A79">
        <w:rPr>
          <w:rFonts w:ascii="Cambria" w:hAnsi="Cambria"/>
        </w:rPr>
        <w:t>nilai</w:t>
      </w:r>
      <w:proofErr w:type="spellEnd"/>
      <w:r w:rsidRPr="00295A79">
        <w:rPr>
          <w:rFonts w:ascii="Cambria" w:hAnsi="Cambria"/>
        </w:rPr>
        <w:t xml:space="preserve"> IAP </w:t>
      </w:r>
      <w:proofErr w:type="spellStart"/>
      <w:r w:rsidRPr="00295A79">
        <w:rPr>
          <w:rFonts w:ascii="Cambria" w:hAnsi="Cambria"/>
        </w:rPr>
        <w:t>penderita</w:t>
      </w:r>
      <w:proofErr w:type="spellEnd"/>
      <w:r w:rsidRPr="00295A79">
        <w:rPr>
          <w:rFonts w:ascii="Cambria" w:hAnsi="Cambria"/>
        </w:rPr>
        <w:t xml:space="preserve"> diabetes. </w:t>
      </w:r>
      <w:proofErr w:type="spellStart"/>
      <w:r w:rsidRPr="00295A79">
        <w:rPr>
          <w:rFonts w:ascii="Cambria" w:hAnsi="Cambria"/>
        </w:rPr>
        <w:t>Edukasi</w:t>
      </w:r>
      <w:proofErr w:type="spellEnd"/>
      <w:r w:rsidRPr="00295A79">
        <w:rPr>
          <w:rFonts w:ascii="Cambria" w:hAnsi="Cambria"/>
        </w:rPr>
        <w:t xml:space="preserve"> </w:t>
      </w:r>
      <w:proofErr w:type="spellStart"/>
      <w:r w:rsidRPr="00295A79">
        <w:rPr>
          <w:rFonts w:ascii="Cambria" w:hAnsi="Cambria"/>
        </w:rPr>
        <w:t>kepada</w:t>
      </w:r>
      <w:proofErr w:type="spellEnd"/>
      <w:r w:rsidRPr="00295A79">
        <w:rPr>
          <w:rFonts w:ascii="Cambria" w:hAnsi="Cambria"/>
        </w:rPr>
        <w:t xml:space="preserve"> </w:t>
      </w:r>
      <w:proofErr w:type="spellStart"/>
      <w:r w:rsidRPr="00295A79">
        <w:rPr>
          <w:rFonts w:ascii="Cambria" w:hAnsi="Cambria"/>
        </w:rPr>
        <w:t>masyarakat</w:t>
      </w:r>
      <w:proofErr w:type="spellEnd"/>
      <w:r w:rsidRPr="00295A79">
        <w:rPr>
          <w:rFonts w:ascii="Cambria" w:hAnsi="Cambria"/>
        </w:rPr>
        <w:t xml:space="preserve"> </w:t>
      </w:r>
      <w:proofErr w:type="spellStart"/>
      <w:r w:rsidRPr="00295A79">
        <w:rPr>
          <w:rFonts w:ascii="Cambria" w:hAnsi="Cambria"/>
        </w:rPr>
        <w:t>mengenai</w:t>
      </w:r>
      <w:proofErr w:type="spellEnd"/>
      <w:r w:rsidRPr="00295A79">
        <w:rPr>
          <w:rFonts w:ascii="Cambria" w:hAnsi="Cambria"/>
        </w:rPr>
        <w:t xml:space="preserve"> </w:t>
      </w:r>
      <w:proofErr w:type="spellStart"/>
      <w:r w:rsidRPr="00295A79">
        <w:rPr>
          <w:rFonts w:ascii="Cambria" w:hAnsi="Cambria"/>
        </w:rPr>
        <w:t>diverfikisasi</w:t>
      </w:r>
      <w:proofErr w:type="spellEnd"/>
      <w:r w:rsidRPr="00295A79">
        <w:rPr>
          <w:rFonts w:ascii="Cambria" w:hAnsi="Cambria"/>
        </w:rPr>
        <w:t xml:space="preserve"> </w:t>
      </w:r>
      <w:proofErr w:type="spellStart"/>
      <w:r w:rsidRPr="00295A79">
        <w:rPr>
          <w:rFonts w:ascii="Cambria" w:hAnsi="Cambria"/>
        </w:rPr>
        <w:t>pangan</w:t>
      </w:r>
      <w:proofErr w:type="spellEnd"/>
      <w:r w:rsidRPr="00295A79">
        <w:rPr>
          <w:rFonts w:ascii="Cambria" w:hAnsi="Cambria"/>
        </w:rPr>
        <w:t xml:space="preserve"> </w:t>
      </w:r>
      <w:proofErr w:type="spellStart"/>
      <w:r w:rsidRPr="00295A79">
        <w:rPr>
          <w:rFonts w:ascii="Cambria" w:hAnsi="Cambria"/>
        </w:rPr>
        <w:t>dari</w:t>
      </w:r>
      <w:proofErr w:type="spellEnd"/>
      <w:r w:rsidRPr="00295A79">
        <w:rPr>
          <w:rFonts w:ascii="Cambria" w:hAnsi="Cambria"/>
        </w:rPr>
        <w:t xml:space="preserve"> </w:t>
      </w:r>
      <w:proofErr w:type="spellStart"/>
      <w:r w:rsidRPr="00295A79">
        <w:rPr>
          <w:rFonts w:ascii="Cambria" w:hAnsi="Cambria"/>
        </w:rPr>
        <w:t>tepung</w:t>
      </w:r>
      <w:proofErr w:type="spellEnd"/>
      <w:r w:rsidRPr="00295A79">
        <w:rPr>
          <w:rFonts w:ascii="Cambria" w:hAnsi="Cambria"/>
        </w:rPr>
        <w:t xml:space="preserve"> </w:t>
      </w:r>
      <w:proofErr w:type="spellStart"/>
      <w:r w:rsidRPr="00295A79">
        <w:rPr>
          <w:rFonts w:ascii="Cambria" w:hAnsi="Cambria"/>
        </w:rPr>
        <w:t>sorgum</w:t>
      </w:r>
      <w:proofErr w:type="spellEnd"/>
      <w:r w:rsidRPr="00295A79">
        <w:rPr>
          <w:rFonts w:ascii="Cambria" w:hAnsi="Cambria"/>
        </w:rPr>
        <w:t xml:space="preserve"> </w:t>
      </w:r>
      <w:proofErr w:type="spellStart"/>
      <w:r w:rsidRPr="00295A79">
        <w:rPr>
          <w:rFonts w:ascii="Cambria" w:hAnsi="Cambria"/>
        </w:rPr>
        <w:t>sebagai</w:t>
      </w:r>
      <w:proofErr w:type="spellEnd"/>
      <w:r w:rsidRPr="00295A79">
        <w:rPr>
          <w:rFonts w:ascii="Cambria" w:hAnsi="Cambria"/>
        </w:rPr>
        <w:t xml:space="preserve"> </w:t>
      </w:r>
      <w:proofErr w:type="spellStart"/>
      <w:r w:rsidRPr="00295A79">
        <w:rPr>
          <w:rFonts w:ascii="Cambria" w:hAnsi="Cambria"/>
        </w:rPr>
        <w:t>alternatif</w:t>
      </w:r>
      <w:proofErr w:type="spellEnd"/>
      <w:r w:rsidRPr="00295A79">
        <w:rPr>
          <w:rFonts w:ascii="Cambria" w:hAnsi="Cambria"/>
        </w:rPr>
        <w:t xml:space="preserve"> </w:t>
      </w:r>
      <w:proofErr w:type="spellStart"/>
      <w:r w:rsidRPr="00295A79">
        <w:rPr>
          <w:rFonts w:ascii="Cambria" w:hAnsi="Cambria"/>
        </w:rPr>
        <w:t>pangan</w:t>
      </w:r>
      <w:proofErr w:type="spellEnd"/>
      <w:r w:rsidRPr="00295A79">
        <w:rPr>
          <w:rFonts w:ascii="Cambria" w:hAnsi="Cambria"/>
        </w:rPr>
        <w:t xml:space="preserve"> lain </w:t>
      </w:r>
      <w:proofErr w:type="spellStart"/>
      <w:r w:rsidRPr="00295A79">
        <w:rPr>
          <w:rFonts w:ascii="Cambria" w:hAnsi="Cambria"/>
        </w:rPr>
        <w:t>untuk</w:t>
      </w:r>
      <w:proofErr w:type="spellEnd"/>
      <w:r w:rsidRPr="00295A79">
        <w:rPr>
          <w:rFonts w:ascii="Cambria" w:hAnsi="Cambria"/>
        </w:rPr>
        <w:t xml:space="preserve"> </w:t>
      </w:r>
      <w:proofErr w:type="spellStart"/>
      <w:r w:rsidRPr="00295A79">
        <w:rPr>
          <w:rFonts w:ascii="Cambria" w:hAnsi="Cambria"/>
        </w:rPr>
        <w:t>penderita</w:t>
      </w:r>
      <w:proofErr w:type="spellEnd"/>
      <w:r w:rsidRPr="00295A79">
        <w:rPr>
          <w:rFonts w:ascii="Cambria" w:hAnsi="Cambria"/>
        </w:rPr>
        <w:t xml:space="preserve"> DM </w:t>
      </w:r>
      <w:proofErr w:type="spellStart"/>
      <w:r w:rsidRPr="00295A79">
        <w:rPr>
          <w:rFonts w:ascii="Cambria" w:hAnsi="Cambria"/>
        </w:rPr>
        <w:t>dengan</w:t>
      </w:r>
      <w:proofErr w:type="spellEnd"/>
      <w:r w:rsidRPr="00295A79">
        <w:rPr>
          <w:rFonts w:ascii="Cambria" w:hAnsi="Cambria"/>
        </w:rPr>
        <w:t xml:space="preserve"> </w:t>
      </w:r>
      <w:proofErr w:type="spellStart"/>
      <w:r w:rsidRPr="00295A79">
        <w:rPr>
          <w:rFonts w:ascii="Cambria" w:hAnsi="Cambria"/>
        </w:rPr>
        <w:t>kandungan</w:t>
      </w:r>
      <w:proofErr w:type="spellEnd"/>
      <w:r w:rsidRPr="00295A79">
        <w:rPr>
          <w:rFonts w:ascii="Cambria" w:hAnsi="Cambria"/>
        </w:rPr>
        <w:t xml:space="preserve"> </w:t>
      </w:r>
      <w:proofErr w:type="spellStart"/>
      <w:r w:rsidRPr="00295A79">
        <w:rPr>
          <w:rFonts w:ascii="Cambria" w:hAnsi="Cambria"/>
        </w:rPr>
        <w:t>tinggi</w:t>
      </w:r>
      <w:proofErr w:type="spellEnd"/>
      <w:r w:rsidRPr="00295A79">
        <w:rPr>
          <w:rFonts w:ascii="Cambria" w:hAnsi="Cambria"/>
        </w:rPr>
        <w:t xml:space="preserve"> </w:t>
      </w:r>
      <w:proofErr w:type="spellStart"/>
      <w:r w:rsidRPr="00295A79">
        <w:rPr>
          <w:rFonts w:ascii="Cambria" w:hAnsi="Cambria"/>
        </w:rPr>
        <w:t>serat</w:t>
      </w:r>
      <w:proofErr w:type="spellEnd"/>
      <w:r w:rsidRPr="00295A79">
        <w:rPr>
          <w:rFonts w:ascii="Cambria" w:hAnsi="Cambria"/>
        </w:rPr>
        <w:t xml:space="preserve"> dan </w:t>
      </w:r>
      <w:proofErr w:type="spellStart"/>
      <w:r w:rsidRPr="00295A79">
        <w:rPr>
          <w:rFonts w:ascii="Cambria" w:hAnsi="Cambria"/>
        </w:rPr>
        <w:t>antioksidan</w:t>
      </w:r>
      <w:proofErr w:type="spellEnd"/>
      <w:r w:rsidRPr="00295A79">
        <w:rPr>
          <w:rFonts w:ascii="Cambria" w:hAnsi="Cambria"/>
        </w:rPr>
        <w:t xml:space="preserve">, </w:t>
      </w:r>
      <w:proofErr w:type="spellStart"/>
      <w:r w:rsidRPr="00295A79">
        <w:rPr>
          <w:rFonts w:ascii="Cambria" w:hAnsi="Cambria"/>
        </w:rPr>
        <w:t>serta</w:t>
      </w:r>
      <w:proofErr w:type="spellEnd"/>
      <w:r w:rsidRPr="00295A79">
        <w:rPr>
          <w:rFonts w:ascii="Cambria" w:hAnsi="Cambria"/>
        </w:rPr>
        <w:t xml:space="preserve"> </w:t>
      </w:r>
      <w:proofErr w:type="spellStart"/>
      <w:r w:rsidRPr="00295A79">
        <w:rPr>
          <w:rFonts w:ascii="Cambria" w:hAnsi="Cambria"/>
        </w:rPr>
        <w:t>rendah</w:t>
      </w:r>
      <w:proofErr w:type="spellEnd"/>
      <w:r w:rsidRPr="00295A79">
        <w:rPr>
          <w:rFonts w:ascii="Cambria" w:hAnsi="Cambria"/>
        </w:rPr>
        <w:t xml:space="preserve"> </w:t>
      </w:r>
      <w:proofErr w:type="spellStart"/>
      <w:r w:rsidRPr="00295A79">
        <w:rPr>
          <w:rFonts w:ascii="Cambria" w:hAnsi="Cambria"/>
        </w:rPr>
        <w:t>indeks</w:t>
      </w:r>
      <w:proofErr w:type="spellEnd"/>
      <w:r w:rsidRPr="00295A79">
        <w:rPr>
          <w:rFonts w:ascii="Cambria" w:hAnsi="Cambria"/>
        </w:rPr>
        <w:t xml:space="preserve"> </w:t>
      </w:r>
      <w:proofErr w:type="spellStart"/>
      <w:r w:rsidRPr="00295A79">
        <w:rPr>
          <w:rFonts w:ascii="Cambria" w:hAnsi="Cambria"/>
        </w:rPr>
        <w:t>glikemik</w:t>
      </w:r>
      <w:proofErr w:type="spellEnd"/>
      <w:r w:rsidRPr="00295A79">
        <w:rPr>
          <w:rFonts w:ascii="Cambria" w:hAnsi="Cambria"/>
        </w:rPr>
        <w:t>.</w:t>
      </w:r>
    </w:p>
    <w:p w14:paraId="5C79F631" w14:textId="77777777" w:rsidR="00AE2391" w:rsidRDefault="00AE2391" w:rsidP="00AE2391">
      <w:pPr>
        <w:spacing w:after="0" w:line="240" w:lineRule="auto"/>
        <w:jc w:val="both"/>
        <w:rPr>
          <w:rFonts w:ascii="Cambria" w:eastAsia="Cambria" w:hAnsi="Cambria" w:cs="Cambria"/>
        </w:rPr>
      </w:pPr>
    </w:p>
    <w:p w14:paraId="4DE69BED" w14:textId="77777777" w:rsidR="00AE2391" w:rsidRDefault="00AE2391" w:rsidP="00AE2391">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t>Ucapan</w:t>
      </w:r>
      <w:proofErr w:type="spellEnd"/>
      <w:r>
        <w:rPr>
          <w:rFonts w:ascii="Cambria" w:eastAsia="Cambria" w:hAnsi="Cambria" w:cs="Cambria"/>
          <w:b/>
          <w:color w:val="000000"/>
          <w:sz w:val="28"/>
          <w:szCs w:val="28"/>
        </w:rPr>
        <w:t xml:space="preserve"> </w:t>
      </w:r>
      <w:proofErr w:type="spellStart"/>
      <w:r>
        <w:rPr>
          <w:rFonts w:ascii="Cambria" w:eastAsia="Cambria" w:hAnsi="Cambria" w:cs="Cambria"/>
          <w:b/>
          <w:color w:val="000000"/>
          <w:sz w:val="28"/>
          <w:szCs w:val="28"/>
        </w:rPr>
        <w:t>Terima</w:t>
      </w:r>
      <w:proofErr w:type="spellEnd"/>
      <w:r>
        <w:rPr>
          <w:rFonts w:ascii="Cambria" w:eastAsia="Cambria" w:hAnsi="Cambria" w:cs="Cambria"/>
          <w:b/>
          <w:color w:val="000000"/>
          <w:sz w:val="28"/>
          <w:szCs w:val="28"/>
        </w:rPr>
        <w:t xml:space="preserve"> Kasih</w:t>
      </w:r>
    </w:p>
    <w:p w14:paraId="22F8C30B" w14:textId="77777777" w:rsidR="00AE2391" w:rsidRDefault="00AE2391" w:rsidP="00AE2391">
      <w:pPr>
        <w:spacing w:after="0" w:line="240" w:lineRule="auto"/>
        <w:ind w:firstLine="720"/>
        <w:jc w:val="both"/>
        <w:rPr>
          <w:rFonts w:ascii="Cambria" w:eastAsia="Cambria" w:hAnsi="Cambria" w:cs="Cambria"/>
        </w:rPr>
      </w:pPr>
      <w:proofErr w:type="spellStart"/>
      <w:r w:rsidRPr="00562F9C">
        <w:rPr>
          <w:rFonts w:ascii="Cambria" w:hAnsi="Cambria" w:cstheme="minorHAnsi"/>
        </w:rPr>
        <w:t>Penulis</w:t>
      </w:r>
      <w:proofErr w:type="spellEnd"/>
      <w:r w:rsidRPr="00562F9C">
        <w:rPr>
          <w:rFonts w:ascii="Cambria" w:hAnsi="Cambria" w:cstheme="minorHAnsi"/>
        </w:rPr>
        <w:t xml:space="preserve"> </w:t>
      </w:r>
      <w:proofErr w:type="spellStart"/>
      <w:r w:rsidRPr="00562F9C">
        <w:rPr>
          <w:rFonts w:ascii="Cambria" w:hAnsi="Cambria" w:cstheme="minorHAnsi"/>
        </w:rPr>
        <w:t>menyampaikan</w:t>
      </w:r>
      <w:proofErr w:type="spellEnd"/>
      <w:r w:rsidRPr="00562F9C">
        <w:rPr>
          <w:rFonts w:ascii="Cambria" w:hAnsi="Cambria" w:cstheme="minorHAnsi"/>
        </w:rPr>
        <w:t xml:space="preserve"> </w:t>
      </w:r>
      <w:proofErr w:type="spellStart"/>
      <w:r w:rsidRPr="00562F9C">
        <w:rPr>
          <w:rFonts w:ascii="Cambria" w:hAnsi="Cambria" w:cstheme="minorHAnsi"/>
        </w:rPr>
        <w:t>terima</w:t>
      </w:r>
      <w:proofErr w:type="spellEnd"/>
      <w:r w:rsidRPr="00562F9C">
        <w:rPr>
          <w:rFonts w:ascii="Cambria" w:hAnsi="Cambria" w:cstheme="minorHAnsi"/>
        </w:rPr>
        <w:t xml:space="preserve"> </w:t>
      </w:r>
      <w:proofErr w:type="spellStart"/>
      <w:r w:rsidRPr="00562F9C">
        <w:rPr>
          <w:rFonts w:ascii="Cambria" w:hAnsi="Cambria" w:cstheme="minorHAnsi"/>
        </w:rPr>
        <w:t>kasih</w:t>
      </w:r>
      <w:proofErr w:type="spellEnd"/>
      <w:r w:rsidRPr="00562F9C">
        <w:rPr>
          <w:rFonts w:ascii="Cambria" w:hAnsi="Cambria" w:cstheme="minorHAnsi"/>
        </w:rPr>
        <w:t xml:space="preserve"> </w:t>
      </w:r>
      <w:proofErr w:type="spellStart"/>
      <w:r w:rsidRPr="00562F9C">
        <w:rPr>
          <w:rFonts w:ascii="Cambria" w:hAnsi="Cambria" w:cstheme="minorHAnsi"/>
        </w:rPr>
        <w:t>kepada</w:t>
      </w:r>
      <w:proofErr w:type="spellEnd"/>
      <w:r w:rsidRPr="00562F9C">
        <w:rPr>
          <w:rFonts w:ascii="Cambria" w:hAnsi="Cambria" w:cstheme="minorHAnsi"/>
        </w:rPr>
        <w:t xml:space="preserve"> </w:t>
      </w:r>
      <w:proofErr w:type="spellStart"/>
      <w:r w:rsidRPr="00562F9C">
        <w:rPr>
          <w:rFonts w:ascii="Cambria" w:hAnsi="Cambria" w:cstheme="minorHAnsi"/>
        </w:rPr>
        <w:t>semua</w:t>
      </w:r>
      <w:proofErr w:type="spellEnd"/>
      <w:r w:rsidRPr="00562F9C">
        <w:rPr>
          <w:rFonts w:ascii="Cambria" w:hAnsi="Cambria" w:cstheme="minorHAnsi"/>
        </w:rPr>
        <w:t xml:space="preserve"> </w:t>
      </w:r>
      <w:proofErr w:type="spellStart"/>
      <w:r w:rsidRPr="00562F9C">
        <w:rPr>
          <w:rFonts w:ascii="Cambria" w:hAnsi="Cambria" w:cstheme="minorHAnsi"/>
        </w:rPr>
        <w:t>pihak</w:t>
      </w:r>
      <w:proofErr w:type="spellEnd"/>
      <w:r w:rsidRPr="00562F9C">
        <w:rPr>
          <w:rFonts w:ascii="Cambria" w:hAnsi="Cambria" w:cstheme="minorHAnsi"/>
        </w:rPr>
        <w:t xml:space="preserve"> yang </w:t>
      </w:r>
      <w:proofErr w:type="spellStart"/>
      <w:r w:rsidRPr="00562F9C">
        <w:rPr>
          <w:rFonts w:ascii="Cambria" w:hAnsi="Cambria" w:cstheme="minorHAnsi"/>
        </w:rPr>
        <w:t>telah</w:t>
      </w:r>
      <w:proofErr w:type="spellEnd"/>
      <w:r w:rsidRPr="00562F9C">
        <w:rPr>
          <w:rFonts w:ascii="Cambria" w:hAnsi="Cambria" w:cstheme="minorHAnsi"/>
        </w:rPr>
        <w:t xml:space="preserve"> </w:t>
      </w:r>
      <w:proofErr w:type="spellStart"/>
      <w:r w:rsidRPr="00562F9C">
        <w:rPr>
          <w:rFonts w:ascii="Cambria" w:hAnsi="Cambria" w:cstheme="minorHAnsi"/>
        </w:rPr>
        <w:t>membantu</w:t>
      </w:r>
      <w:proofErr w:type="spellEnd"/>
      <w:r w:rsidRPr="00562F9C">
        <w:rPr>
          <w:rFonts w:ascii="Cambria" w:hAnsi="Cambria" w:cstheme="minorHAnsi"/>
        </w:rPr>
        <w:t xml:space="preserve"> proses </w:t>
      </w:r>
      <w:proofErr w:type="spellStart"/>
      <w:r w:rsidRPr="00562F9C">
        <w:rPr>
          <w:rFonts w:ascii="Cambria" w:hAnsi="Cambria" w:cstheme="minorHAnsi"/>
        </w:rPr>
        <w:t>penelitian</w:t>
      </w:r>
      <w:proofErr w:type="spellEnd"/>
      <w:r w:rsidRPr="00562F9C">
        <w:rPr>
          <w:rFonts w:ascii="Cambria" w:hAnsi="Cambria" w:cstheme="minorHAnsi"/>
        </w:rPr>
        <w:t xml:space="preserve"> </w:t>
      </w:r>
      <w:proofErr w:type="spellStart"/>
      <w:r w:rsidRPr="00562F9C">
        <w:rPr>
          <w:rFonts w:ascii="Cambria" w:hAnsi="Cambria" w:cstheme="minorHAnsi"/>
        </w:rPr>
        <w:t>ini</w:t>
      </w:r>
      <w:proofErr w:type="spellEnd"/>
      <w:r>
        <w:rPr>
          <w:rFonts w:ascii="Cambria" w:eastAsia="Cambria" w:hAnsi="Cambria" w:cs="Cambria"/>
        </w:rPr>
        <w:t>.</w:t>
      </w:r>
    </w:p>
    <w:p w14:paraId="3C5F3EB5" w14:textId="77777777" w:rsidR="00AE2391" w:rsidRDefault="00AE2391" w:rsidP="00AE2391">
      <w:pPr>
        <w:spacing w:after="0" w:line="240" w:lineRule="auto"/>
        <w:jc w:val="both"/>
        <w:rPr>
          <w:rFonts w:ascii="Cambria" w:eastAsia="Cambria" w:hAnsi="Cambria" w:cs="Cambria"/>
        </w:rPr>
      </w:pPr>
    </w:p>
    <w:p w14:paraId="2CF58B0F" w14:textId="77777777" w:rsidR="00AE2391" w:rsidRDefault="00AE2391" w:rsidP="00AE2391">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Daftar </w:t>
      </w:r>
      <w:proofErr w:type="spellStart"/>
      <w:r>
        <w:rPr>
          <w:rFonts w:ascii="Cambria" w:eastAsia="Cambria" w:hAnsi="Cambria" w:cs="Cambria"/>
          <w:b/>
          <w:color w:val="000000"/>
          <w:sz w:val="28"/>
          <w:szCs w:val="28"/>
        </w:rPr>
        <w:t>Rujukan</w:t>
      </w:r>
      <w:proofErr w:type="spellEnd"/>
    </w:p>
    <w:p w14:paraId="62E4881A"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Pr>
          <w:rFonts w:ascii="Cambria" w:eastAsia="Cambria" w:hAnsi="Cambria" w:cs="Cambria"/>
        </w:rPr>
        <w:fldChar w:fldCharType="begin" w:fldLock="1"/>
      </w:r>
      <w:r>
        <w:rPr>
          <w:rFonts w:ascii="Cambria" w:eastAsia="Cambria" w:hAnsi="Cambria" w:cs="Cambria"/>
        </w:rPr>
        <w:instrText xml:space="preserve">ADDIN Mendeley Bibliography CSL_BIBLIOGRAPHY </w:instrText>
      </w:r>
      <w:r>
        <w:rPr>
          <w:rFonts w:ascii="Cambria" w:eastAsia="Cambria" w:hAnsi="Cambria" w:cs="Cambria"/>
        </w:rPr>
        <w:fldChar w:fldCharType="separate"/>
      </w:r>
      <w:r w:rsidRPr="00295A79">
        <w:rPr>
          <w:rFonts w:ascii="Cambria" w:hAnsi="Cambria" w:cs="Times New Roman"/>
          <w:noProof/>
          <w:szCs w:val="24"/>
        </w:rPr>
        <w:t xml:space="preserve">Bender, D. A., &amp; Mayes, P. A. (2008). Glikolisis dan Oksidasi Piruvat. In </w:t>
      </w:r>
      <w:r w:rsidRPr="00295A79">
        <w:rPr>
          <w:rFonts w:ascii="Cambria" w:hAnsi="Cambria" w:cs="Times New Roman"/>
          <w:i/>
          <w:iCs/>
          <w:noProof/>
          <w:szCs w:val="24"/>
        </w:rPr>
        <w:t>Biokimia Harper</w:t>
      </w:r>
      <w:r w:rsidRPr="00295A79">
        <w:rPr>
          <w:rFonts w:ascii="Cambria" w:hAnsi="Cambria" w:cs="Times New Roman"/>
          <w:noProof/>
          <w:szCs w:val="24"/>
        </w:rPr>
        <w:t xml:space="preserve"> (29th editi, pp. 191–200). Jakarta: Buku Kedokteran EGC.</w:t>
      </w:r>
    </w:p>
    <w:p w14:paraId="74463C7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Bogan, K. L., &amp; Brenner, C. (2008). Nicotinic Acid, Nicotinamide, and Nicotinamide Riboside: A Molecular Evaluation of NAD + Precursor Vitamins in Human Nutrition. </w:t>
      </w:r>
      <w:r w:rsidRPr="00295A79">
        <w:rPr>
          <w:rFonts w:ascii="Cambria" w:hAnsi="Cambria" w:cs="Times New Roman"/>
          <w:i/>
          <w:iCs/>
          <w:noProof/>
          <w:szCs w:val="24"/>
        </w:rPr>
        <w:t>Annual Review of Nutrition</w:t>
      </w:r>
      <w:r w:rsidRPr="00295A79">
        <w:rPr>
          <w:rFonts w:ascii="Cambria" w:hAnsi="Cambria" w:cs="Times New Roman"/>
          <w:noProof/>
          <w:szCs w:val="24"/>
        </w:rPr>
        <w:t xml:space="preserve">, </w:t>
      </w:r>
      <w:r w:rsidRPr="00295A79">
        <w:rPr>
          <w:rFonts w:ascii="Cambria" w:hAnsi="Cambria" w:cs="Times New Roman"/>
          <w:i/>
          <w:iCs/>
          <w:noProof/>
          <w:szCs w:val="24"/>
        </w:rPr>
        <w:t>28</w:t>
      </w:r>
      <w:r w:rsidRPr="00295A79">
        <w:rPr>
          <w:rFonts w:ascii="Cambria" w:hAnsi="Cambria" w:cs="Times New Roman"/>
          <w:noProof/>
          <w:szCs w:val="24"/>
        </w:rPr>
        <w:t>(1), 115–130. https://doi.org/10.1146/annurev.nutr.28.061807.155443</w:t>
      </w:r>
    </w:p>
    <w:p w14:paraId="458B6898"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Buyken, A. E., Toeller, M., Heitkamp, G., Karamanos, B., Rottiers, R., Muggeo, M., &amp; Fuller, J. H. (2001). Glycemic index in the diet of European outpatients with type 1 diabetes: relations to glycated hemoglobin and serum lipids. </w:t>
      </w:r>
      <w:r w:rsidRPr="00295A79">
        <w:rPr>
          <w:rFonts w:ascii="Cambria" w:hAnsi="Cambria" w:cs="Times New Roman"/>
          <w:i/>
          <w:iCs/>
          <w:noProof/>
          <w:szCs w:val="24"/>
        </w:rPr>
        <w:t>The American Journal of Clinical Nutrition</w:t>
      </w:r>
      <w:r w:rsidRPr="00295A79">
        <w:rPr>
          <w:rFonts w:ascii="Cambria" w:hAnsi="Cambria" w:cs="Times New Roman"/>
          <w:noProof/>
          <w:szCs w:val="24"/>
        </w:rPr>
        <w:t xml:space="preserve">, </w:t>
      </w:r>
      <w:r w:rsidRPr="00295A79">
        <w:rPr>
          <w:rFonts w:ascii="Cambria" w:hAnsi="Cambria" w:cs="Times New Roman"/>
          <w:i/>
          <w:iCs/>
          <w:noProof/>
          <w:szCs w:val="24"/>
        </w:rPr>
        <w:t>73</w:t>
      </w:r>
      <w:r w:rsidRPr="00295A79">
        <w:rPr>
          <w:rFonts w:ascii="Cambria" w:hAnsi="Cambria" w:cs="Times New Roman"/>
          <w:noProof/>
          <w:szCs w:val="24"/>
        </w:rPr>
        <w:t>(3), 574–581. https://doi.org/10.1093/ajcn/73.3.574</w:t>
      </w:r>
    </w:p>
    <w:p w14:paraId="10385953"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Chan, Y.-H., Lau, K.-K., Yiu, K.-H., Li, S.-W., Chan, </w:t>
      </w:r>
      <w:r w:rsidRPr="00295A79">
        <w:rPr>
          <w:rFonts w:ascii="Cambria" w:hAnsi="Cambria" w:cs="Times New Roman"/>
          <w:noProof/>
          <w:szCs w:val="24"/>
        </w:rPr>
        <w:lastRenderedPageBreak/>
        <w:t xml:space="preserve">H.-T., Tam, S., … Tse, H.-F. (2007). Isoflavone intake in persons at high risk of cardiovascular events: implications for vascular endothelial function and the carotid atherosclerotic burden. </w:t>
      </w:r>
      <w:r w:rsidRPr="00295A79">
        <w:rPr>
          <w:rFonts w:ascii="Cambria" w:hAnsi="Cambria" w:cs="Times New Roman"/>
          <w:i/>
          <w:iCs/>
          <w:noProof/>
          <w:szCs w:val="24"/>
        </w:rPr>
        <w:t>The American Journal of Clinical Nutrition</w:t>
      </w:r>
      <w:r w:rsidRPr="00295A79">
        <w:rPr>
          <w:rFonts w:ascii="Cambria" w:hAnsi="Cambria" w:cs="Times New Roman"/>
          <w:noProof/>
          <w:szCs w:val="24"/>
        </w:rPr>
        <w:t xml:space="preserve">, </w:t>
      </w:r>
      <w:r w:rsidRPr="00295A79">
        <w:rPr>
          <w:rFonts w:ascii="Cambria" w:hAnsi="Cambria" w:cs="Times New Roman"/>
          <w:i/>
          <w:iCs/>
          <w:noProof/>
          <w:szCs w:val="24"/>
        </w:rPr>
        <w:t>86</w:t>
      </w:r>
      <w:r w:rsidRPr="00295A79">
        <w:rPr>
          <w:rFonts w:ascii="Cambria" w:hAnsi="Cambria" w:cs="Times New Roman"/>
          <w:noProof/>
          <w:szCs w:val="24"/>
        </w:rPr>
        <w:t>(4), 938–945. https://doi.org/10.1093/ajcn/86.4.938</w:t>
      </w:r>
    </w:p>
    <w:p w14:paraId="5CC79147"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Darmono, Suhartono, T., &amp; Tjokorda. (2007). </w:t>
      </w:r>
      <w:r w:rsidRPr="00295A79">
        <w:rPr>
          <w:rFonts w:ascii="Cambria" w:hAnsi="Cambria" w:cs="Times New Roman"/>
          <w:i/>
          <w:iCs/>
          <w:noProof/>
          <w:szCs w:val="24"/>
        </w:rPr>
        <w:t>Diabetes Mellitus Ditinjau dari Berbagai Aspek Penyakit Dalam.</w:t>
      </w:r>
      <w:r w:rsidRPr="00295A79">
        <w:rPr>
          <w:rFonts w:ascii="Cambria" w:hAnsi="Cambria" w:cs="Times New Roman"/>
          <w:noProof/>
          <w:szCs w:val="24"/>
        </w:rPr>
        <w:t xml:space="preserve"> Semarang: Badan Penerbit Universitas Diponegoro.</w:t>
      </w:r>
    </w:p>
    <w:p w14:paraId="6F1D3F9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Diagnosis and Classification of Diabetes Mellitus. (2010). </w:t>
      </w:r>
      <w:r w:rsidRPr="00295A79">
        <w:rPr>
          <w:rFonts w:ascii="Cambria" w:hAnsi="Cambria" w:cs="Times New Roman"/>
          <w:i/>
          <w:iCs/>
          <w:noProof/>
          <w:szCs w:val="24"/>
        </w:rPr>
        <w:t>Diabetes Care</w:t>
      </w:r>
      <w:r w:rsidRPr="00295A79">
        <w:rPr>
          <w:rFonts w:ascii="Cambria" w:hAnsi="Cambria" w:cs="Times New Roman"/>
          <w:noProof/>
          <w:szCs w:val="24"/>
        </w:rPr>
        <w:t xml:space="preserve">, </w:t>
      </w:r>
      <w:r w:rsidRPr="00295A79">
        <w:rPr>
          <w:rFonts w:ascii="Cambria" w:hAnsi="Cambria" w:cs="Times New Roman"/>
          <w:i/>
          <w:iCs/>
          <w:noProof/>
          <w:szCs w:val="24"/>
        </w:rPr>
        <w:t>33</w:t>
      </w:r>
      <w:r w:rsidRPr="00295A79">
        <w:rPr>
          <w:rFonts w:ascii="Cambria" w:hAnsi="Cambria" w:cs="Times New Roman"/>
          <w:noProof/>
          <w:szCs w:val="24"/>
        </w:rPr>
        <w:t>(Supplement_1), S62–S69. https://doi.org/10.2337/dc10-S062</w:t>
      </w:r>
    </w:p>
    <w:p w14:paraId="501E365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i/>
          <w:iCs/>
          <w:noProof/>
          <w:szCs w:val="24"/>
        </w:rPr>
        <w:t>Diagnosis and Classification of Diabetes Mellitus, Clinical Practice Recommendations</w:t>
      </w:r>
      <w:r w:rsidRPr="00295A79">
        <w:rPr>
          <w:rFonts w:ascii="Cambria" w:hAnsi="Cambria" w:cs="Times New Roman"/>
          <w:noProof/>
          <w:szCs w:val="24"/>
        </w:rPr>
        <w:t>. , (2004).</w:t>
      </w:r>
    </w:p>
    <w:p w14:paraId="3216719B"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Dicko, M. H., Gruppen, H., Traore, A. S., van Berkel, W. J. H., &amp; Voragen, A. G. J. (2005). Evaluation of the Effect of Germination on Phenolic Compounds and Antioxidant Activities in Sorghum Varieties. </w:t>
      </w:r>
      <w:r w:rsidRPr="00295A79">
        <w:rPr>
          <w:rFonts w:ascii="Cambria" w:hAnsi="Cambria" w:cs="Times New Roman"/>
          <w:i/>
          <w:iCs/>
          <w:noProof/>
          <w:szCs w:val="24"/>
        </w:rPr>
        <w:t>Journal of Agricultural and Food Chemistry</w:t>
      </w:r>
      <w:r w:rsidRPr="00295A79">
        <w:rPr>
          <w:rFonts w:ascii="Cambria" w:hAnsi="Cambria" w:cs="Times New Roman"/>
          <w:noProof/>
          <w:szCs w:val="24"/>
        </w:rPr>
        <w:t xml:space="preserve">, </w:t>
      </w:r>
      <w:r w:rsidRPr="00295A79">
        <w:rPr>
          <w:rFonts w:ascii="Cambria" w:hAnsi="Cambria" w:cs="Times New Roman"/>
          <w:i/>
          <w:iCs/>
          <w:noProof/>
          <w:szCs w:val="24"/>
        </w:rPr>
        <w:t>53</w:t>
      </w:r>
      <w:r w:rsidRPr="00295A79">
        <w:rPr>
          <w:rFonts w:ascii="Cambria" w:hAnsi="Cambria" w:cs="Times New Roman"/>
          <w:noProof/>
          <w:szCs w:val="24"/>
        </w:rPr>
        <w:t>(7), 2581–2588. https://doi.org/10.1021/jf0501847</w:t>
      </w:r>
    </w:p>
    <w:p w14:paraId="22111948"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Dixit, A., Dey, R., Suresh, A., Chaudhuri, S., Panda, A., Mitra, A., &amp; Hazra, J. (2014). The prevalence of dyslipidemia in patients with diabetes mellitus of ayurveda Hospital. </w:t>
      </w:r>
      <w:r w:rsidRPr="00295A79">
        <w:rPr>
          <w:rFonts w:ascii="Cambria" w:hAnsi="Cambria" w:cs="Times New Roman"/>
          <w:i/>
          <w:iCs/>
          <w:noProof/>
          <w:szCs w:val="24"/>
        </w:rPr>
        <w:t>Journal of Diabetes &amp; Metabolic Disorders</w:t>
      </w:r>
      <w:r w:rsidRPr="00295A79">
        <w:rPr>
          <w:rFonts w:ascii="Cambria" w:hAnsi="Cambria" w:cs="Times New Roman"/>
          <w:noProof/>
          <w:szCs w:val="24"/>
        </w:rPr>
        <w:t xml:space="preserve">, </w:t>
      </w:r>
      <w:r w:rsidRPr="00295A79">
        <w:rPr>
          <w:rFonts w:ascii="Cambria" w:hAnsi="Cambria" w:cs="Times New Roman"/>
          <w:i/>
          <w:iCs/>
          <w:noProof/>
          <w:szCs w:val="24"/>
        </w:rPr>
        <w:t>13</w:t>
      </w:r>
      <w:r w:rsidRPr="00295A79">
        <w:rPr>
          <w:rFonts w:ascii="Cambria" w:hAnsi="Cambria" w:cs="Times New Roman"/>
          <w:noProof/>
          <w:szCs w:val="24"/>
        </w:rPr>
        <w:t>(1), 58. https://doi.org/10.1186/2251-6581-13-58</w:t>
      </w:r>
    </w:p>
    <w:p w14:paraId="0503AE0F"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E.Jyothsna, Hymavathi, D. T. V., &amp; Kumar, D. G. K. (2015). Effect of sorghum based resistant starch rich product supplementation on lipid profile of healthy individuals. </w:t>
      </w:r>
      <w:r w:rsidRPr="00295A79">
        <w:rPr>
          <w:rFonts w:ascii="Cambria" w:hAnsi="Cambria" w:cs="Times New Roman"/>
          <w:i/>
          <w:iCs/>
          <w:noProof/>
          <w:szCs w:val="24"/>
        </w:rPr>
        <w:t>IOSR Journal of Nursing and Health Science (IOSR-JNHS)</w:t>
      </w:r>
      <w:r w:rsidRPr="00295A79">
        <w:rPr>
          <w:rFonts w:ascii="Cambria" w:hAnsi="Cambria" w:cs="Times New Roman"/>
          <w:noProof/>
          <w:szCs w:val="24"/>
        </w:rPr>
        <w:t xml:space="preserve">, </w:t>
      </w:r>
      <w:r w:rsidRPr="00295A79">
        <w:rPr>
          <w:rFonts w:ascii="Cambria" w:hAnsi="Cambria" w:cs="Times New Roman"/>
          <w:i/>
          <w:iCs/>
          <w:noProof/>
          <w:szCs w:val="24"/>
        </w:rPr>
        <w:t>4</w:t>
      </w:r>
      <w:r w:rsidRPr="00295A79">
        <w:rPr>
          <w:rFonts w:ascii="Cambria" w:hAnsi="Cambria" w:cs="Times New Roman"/>
          <w:noProof/>
          <w:szCs w:val="24"/>
        </w:rPr>
        <w:t>(3), 50–54.</w:t>
      </w:r>
    </w:p>
    <w:p w14:paraId="7939333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Federation, I. D. (2011). </w:t>
      </w:r>
      <w:r w:rsidRPr="00295A79">
        <w:rPr>
          <w:rFonts w:ascii="Cambria" w:hAnsi="Cambria" w:cs="Times New Roman"/>
          <w:i/>
          <w:iCs/>
          <w:noProof/>
          <w:szCs w:val="24"/>
        </w:rPr>
        <w:t>Global Burden of Diabetes : Diabetic Atlas</w:t>
      </w:r>
      <w:r w:rsidRPr="00295A79">
        <w:rPr>
          <w:rFonts w:ascii="Cambria" w:hAnsi="Cambria" w:cs="Times New Roman"/>
          <w:noProof/>
          <w:szCs w:val="24"/>
        </w:rPr>
        <w:t xml:space="preserve"> (5th editio). Brussel.</w:t>
      </w:r>
    </w:p>
    <w:p w14:paraId="226DAC0E"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Federation, I. D. (2014). </w:t>
      </w:r>
      <w:r w:rsidRPr="00295A79">
        <w:rPr>
          <w:rFonts w:ascii="Cambria" w:hAnsi="Cambria" w:cs="Times New Roman"/>
          <w:i/>
          <w:iCs/>
          <w:noProof/>
          <w:szCs w:val="24"/>
        </w:rPr>
        <w:t>Diabetes in Indonesia</w:t>
      </w:r>
      <w:r w:rsidRPr="00295A79">
        <w:rPr>
          <w:rFonts w:ascii="Cambria" w:hAnsi="Cambria" w:cs="Times New Roman"/>
          <w:noProof/>
          <w:szCs w:val="24"/>
        </w:rPr>
        <w:t>. Brussel.</w:t>
      </w:r>
    </w:p>
    <w:p w14:paraId="646E530D"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Firdaus, F., Rimbawan, R., Marliyati, S. A., &amp; Roosita, K. (2016). Model Tikus Diabetes Yang Diinduksi Streptozotocin-Sukrosa Untuk Pendekatan Penelitian Diabetes Melitus Gestasional. </w:t>
      </w:r>
      <w:r w:rsidRPr="00295A79">
        <w:rPr>
          <w:rFonts w:ascii="Cambria" w:hAnsi="Cambria" w:cs="Times New Roman"/>
          <w:i/>
          <w:iCs/>
          <w:noProof/>
          <w:szCs w:val="24"/>
        </w:rPr>
        <w:t>JURNAL MKMI</w:t>
      </w:r>
      <w:r w:rsidRPr="00295A79">
        <w:rPr>
          <w:rFonts w:ascii="Cambria" w:hAnsi="Cambria" w:cs="Times New Roman"/>
          <w:noProof/>
          <w:szCs w:val="24"/>
        </w:rPr>
        <w:t xml:space="preserve">, </w:t>
      </w:r>
      <w:r w:rsidRPr="00295A79">
        <w:rPr>
          <w:rFonts w:ascii="Cambria" w:hAnsi="Cambria" w:cs="Times New Roman"/>
          <w:i/>
          <w:iCs/>
          <w:noProof/>
          <w:szCs w:val="24"/>
        </w:rPr>
        <w:t>12</w:t>
      </w:r>
      <w:r w:rsidRPr="00295A79">
        <w:rPr>
          <w:rFonts w:ascii="Cambria" w:hAnsi="Cambria" w:cs="Times New Roman"/>
          <w:noProof/>
          <w:szCs w:val="24"/>
        </w:rPr>
        <w:t>(1), 29–34.</w:t>
      </w:r>
    </w:p>
    <w:p w14:paraId="7774FBE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Freeman, M. W., &amp; Junge, C. (2008). </w:t>
      </w:r>
      <w:r w:rsidRPr="00295A79">
        <w:rPr>
          <w:rFonts w:ascii="Cambria" w:hAnsi="Cambria" w:cs="Times New Roman"/>
          <w:i/>
          <w:iCs/>
          <w:noProof/>
          <w:szCs w:val="24"/>
        </w:rPr>
        <w:t>Kolesterol rendah jantung sehat</w:t>
      </w:r>
      <w:r w:rsidRPr="00295A79">
        <w:rPr>
          <w:rFonts w:ascii="Cambria" w:hAnsi="Cambria" w:cs="Times New Roman"/>
          <w:noProof/>
          <w:szCs w:val="24"/>
        </w:rPr>
        <w:t>. Jakarta: Bhuana Ilmu Populer.</w:t>
      </w:r>
    </w:p>
    <w:p w14:paraId="5DEFBEA1"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Gao, Z., Yin, J., Zhang, J., Ward, R. E., Martin, R. J., Lefevre, M., … Ye, J. (2009). Butyrate Improves Insulin Sensitivity and Increases Energy Expenditure in Mice. </w:t>
      </w:r>
      <w:r w:rsidRPr="00295A79">
        <w:rPr>
          <w:rFonts w:ascii="Cambria" w:hAnsi="Cambria" w:cs="Times New Roman"/>
          <w:i/>
          <w:iCs/>
          <w:noProof/>
          <w:szCs w:val="24"/>
        </w:rPr>
        <w:t>Diabetes</w:t>
      </w:r>
      <w:r w:rsidRPr="00295A79">
        <w:rPr>
          <w:rFonts w:ascii="Cambria" w:hAnsi="Cambria" w:cs="Times New Roman"/>
          <w:noProof/>
          <w:szCs w:val="24"/>
        </w:rPr>
        <w:t xml:space="preserve">, </w:t>
      </w:r>
      <w:r w:rsidRPr="00295A79">
        <w:rPr>
          <w:rFonts w:ascii="Cambria" w:hAnsi="Cambria" w:cs="Times New Roman"/>
          <w:i/>
          <w:iCs/>
          <w:noProof/>
          <w:szCs w:val="24"/>
        </w:rPr>
        <w:t>58</w:t>
      </w:r>
      <w:r w:rsidRPr="00295A79">
        <w:rPr>
          <w:rFonts w:ascii="Cambria" w:hAnsi="Cambria" w:cs="Times New Roman"/>
          <w:noProof/>
          <w:szCs w:val="24"/>
        </w:rPr>
        <w:t>(7), 1509–1517. https://doi.org/10.2337/db08-1637</w:t>
      </w:r>
    </w:p>
    <w:p w14:paraId="517102E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Ghasemi, A., Khalifi, S., &amp; Jedi, S. (2014). Streptozotocin-nicotinamide-induced rat model of type 2 diabetes (review). </w:t>
      </w:r>
      <w:r w:rsidRPr="00295A79">
        <w:rPr>
          <w:rFonts w:ascii="Cambria" w:hAnsi="Cambria" w:cs="Times New Roman"/>
          <w:i/>
          <w:iCs/>
          <w:noProof/>
          <w:szCs w:val="24"/>
        </w:rPr>
        <w:t>Acta Physiologica Hungarica</w:t>
      </w:r>
      <w:r w:rsidRPr="00295A79">
        <w:rPr>
          <w:rFonts w:ascii="Cambria" w:hAnsi="Cambria" w:cs="Times New Roman"/>
          <w:noProof/>
          <w:szCs w:val="24"/>
        </w:rPr>
        <w:t xml:space="preserve">, </w:t>
      </w:r>
      <w:r w:rsidRPr="00295A79">
        <w:rPr>
          <w:rFonts w:ascii="Cambria" w:hAnsi="Cambria" w:cs="Times New Roman"/>
          <w:i/>
          <w:iCs/>
          <w:noProof/>
          <w:szCs w:val="24"/>
        </w:rPr>
        <w:t>101</w:t>
      </w:r>
      <w:r w:rsidRPr="00295A79">
        <w:rPr>
          <w:rFonts w:ascii="Cambria" w:hAnsi="Cambria" w:cs="Times New Roman"/>
          <w:noProof/>
          <w:szCs w:val="24"/>
        </w:rPr>
        <w:t>(4), 408–420. https://doi.org/10.1556/APhysiol.101.2014.4.2</w:t>
      </w:r>
    </w:p>
    <w:p w14:paraId="778823CA"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Giknis, M. L. A., &amp; Clifford, C. B. (2008). </w:t>
      </w:r>
      <w:r w:rsidRPr="00295A79">
        <w:rPr>
          <w:rFonts w:ascii="Cambria" w:hAnsi="Cambria" w:cs="Times New Roman"/>
          <w:i/>
          <w:iCs/>
          <w:noProof/>
          <w:szCs w:val="24"/>
        </w:rPr>
        <w:t>Clinical Laboratory Parameters For Crl : WI (Han)</w:t>
      </w:r>
      <w:r w:rsidRPr="00295A79">
        <w:rPr>
          <w:rFonts w:ascii="Cambria" w:hAnsi="Cambria" w:cs="Times New Roman"/>
          <w:noProof/>
          <w:szCs w:val="24"/>
        </w:rPr>
        <w:t>.</w:t>
      </w:r>
    </w:p>
    <w:p w14:paraId="3CD1E31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Gropper, S. S., &amp; Smith, J. L. (2018). </w:t>
      </w:r>
      <w:r w:rsidRPr="00295A79">
        <w:rPr>
          <w:rFonts w:ascii="Cambria" w:hAnsi="Cambria" w:cs="Times New Roman"/>
          <w:i/>
          <w:iCs/>
          <w:noProof/>
          <w:szCs w:val="24"/>
        </w:rPr>
        <w:t>Advanced Nutrition and Human Metabolism.</w:t>
      </w:r>
      <w:r w:rsidRPr="00295A79">
        <w:rPr>
          <w:rFonts w:ascii="Cambria" w:hAnsi="Cambria" w:cs="Times New Roman"/>
          <w:noProof/>
          <w:szCs w:val="24"/>
        </w:rPr>
        <w:t xml:space="preserve"> (5th editio). Wadsworth: Cengage Learning.</w:t>
      </w:r>
    </w:p>
    <w:p w14:paraId="5B028435"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Hamid, A., Ilyas, M., &amp; Kalsoom, S. (2017). Effect of Wheat and Corn Bran and Barley and Sorghum β-Glucan Extracts on the Plasma Cholesterol Level of Dietary-Induced Hypercholesterolemic Rats. </w:t>
      </w:r>
      <w:r w:rsidRPr="00295A79">
        <w:rPr>
          <w:rFonts w:ascii="Cambria" w:hAnsi="Cambria" w:cs="Times New Roman"/>
          <w:i/>
          <w:iCs/>
          <w:noProof/>
          <w:szCs w:val="24"/>
        </w:rPr>
        <w:t>Pakistan Journal of Zoology</w:t>
      </w:r>
      <w:r w:rsidRPr="00295A79">
        <w:rPr>
          <w:rFonts w:ascii="Cambria" w:hAnsi="Cambria" w:cs="Times New Roman"/>
          <w:noProof/>
          <w:szCs w:val="24"/>
        </w:rPr>
        <w:t xml:space="preserve">, </w:t>
      </w:r>
      <w:r w:rsidRPr="00295A79">
        <w:rPr>
          <w:rFonts w:ascii="Cambria" w:hAnsi="Cambria" w:cs="Times New Roman"/>
          <w:i/>
          <w:iCs/>
          <w:noProof/>
          <w:szCs w:val="24"/>
        </w:rPr>
        <w:t>49</w:t>
      </w:r>
      <w:r w:rsidRPr="00295A79">
        <w:rPr>
          <w:rFonts w:ascii="Cambria" w:hAnsi="Cambria" w:cs="Times New Roman"/>
          <w:noProof/>
          <w:szCs w:val="24"/>
        </w:rPr>
        <w:t>(5). https://doi.org/10.17582/journal.pjz/2017.49.5.1631.1637</w:t>
      </w:r>
    </w:p>
    <w:p w14:paraId="0A96D9B2"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Indonesia)., P. (Perkumpulan E. (2015). </w:t>
      </w:r>
      <w:r w:rsidRPr="00295A79">
        <w:rPr>
          <w:rFonts w:ascii="Cambria" w:hAnsi="Cambria" w:cs="Times New Roman"/>
          <w:i/>
          <w:iCs/>
          <w:noProof/>
          <w:szCs w:val="24"/>
        </w:rPr>
        <w:t>Konsensus Pengendalian dan Pencegahan Diabetes Melitus Tipe 2 di Indonesia</w:t>
      </w:r>
      <w:r w:rsidRPr="00295A79">
        <w:rPr>
          <w:rFonts w:ascii="Cambria" w:hAnsi="Cambria" w:cs="Times New Roman"/>
          <w:noProof/>
          <w:szCs w:val="24"/>
        </w:rPr>
        <w:t>.</w:t>
      </w:r>
    </w:p>
    <w:p w14:paraId="582A3F7B"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International, W. C. R. F. (2007). </w:t>
      </w:r>
      <w:r w:rsidRPr="00295A79">
        <w:rPr>
          <w:rFonts w:ascii="Cambria" w:hAnsi="Cambria" w:cs="Times New Roman"/>
          <w:i/>
          <w:iCs/>
          <w:noProof/>
          <w:szCs w:val="24"/>
        </w:rPr>
        <w:t>Nutrition and the prevention of cancer: a Global Perspective.</w:t>
      </w:r>
    </w:p>
    <w:p w14:paraId="67D225E7"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Isdamayani, L., &amp; Panunggal, B. (2015). Kandungan Flavonoid, Total Fenol, Dan Antioksidan Snack Barsorgum Sebagai Alternatif Makanan Selingan Penderita Diabetes Mellitus Tipe 2. </w:t>
      </w:r>
      <w:r w:rsidRPr="00295A79">
        <w:rPr>
          <w:rFonts w:ascii="Cambria" w:hAnsi="Cambria" w:cs="Times New Roman"/>
          <w:i/>
          <w:iCs/>
          <w:noProof/>
          <w:szCs w:val="24"/>
        </w:rPr>
        <w:t>Journal of Nutrition College</w:t>
      </w:r>
      <w:r w:rsidRPr="00295A79">
        <w:rPr>
          <w:rFonts w:ascii="Cambria" w:hAnsi="Cambria" w:cs="Times New Roman"/>
          <w:noProof/>
          <w:szCs w:val="24"/>
        </w:rPr>
        <w:t xml:space="preserve">, </w:t>
      </w:r>
      <w:r w:rsidRPr="00295A79">
        <w:rPr>
          <w:rFonts w:ascii="Cambria" w:hAnsi="Cambria" w:cs="Times New Roman"/>
          <w:i/>
          <w:iCs/>
          <w:noProof/>
          <w:szCs w:val="24"/>
        </w:rPr>
        <w:t>4</w:t>
      </w:r>
      <w:r w:rsidRPr="00295A79">
        <w:rPr>
          <w:rFonts w:ascii="Cambria" w:hAnsi="Cambria" w:cs="Times New Roman"/>
          <w:noProof/>
          <w:szCs w:val="24"/>
        </w:rPr>
        <w:t>(2), 342–349.</w:t>
      </w:r>
    </w:p>
    <w:p w14:paraId="0404EF0E"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Khazaál, M. S. (2013). Atherogenic Index of Plasma (AIP) As a Parameter in Predicting Cardiovascular Risk in Males Compared To the Conventional Dyslipidemic Indices (Cholesterol Ratios). </w:t>
      </w:r>
      <w:r w:rsidRPr="00295A79">
        <w:rPr>
          <w:rFonts w:ascii="Cambria" w:hAnsi="Cambria" w:cs="Times New Roman"/>
          <w:i/>
          <w:iCs/>
          <w:noProof/>
          <w:szCs w:val="24"/>
        </w:rPr>
        <w:t>Karbala J. Med</w:t>
      </w:r>
      <w:r w:rsidRPr="00295A79">
        <w:rPr>
          <w:rFonts w:ascii="Cambria" w:hAnsi="Cambria" w:cs="Times New Roman"/>
          <w:noProof/>
          <w:szCs w:val="24"/>
        </w:rPr>
        <w:t xml:space="preserve">, </w:t>
      </w:r>
      <w:r w:rsidRPr="00295A79">
        <w:rPr>
          <w:rFonts w:ascii="Cambria" w:hAnsi="Cambria" w:cs="Times New Roman"/>
          <w:i/>
          <w:iCs/>
          <w:noProof/>
          <w:szCs w:val="24"/>
        </w:rPr>
        <w:t>6</w:t>
      </w:r>
      <w:r w:rsidRPr="00295A79">
        <w:rPr>
          <w:rFonts w:ascii="Cambria" w:hAnsi="Cambria" w:cs="Times New Roman"/>
          <w:noProof/>
          <w:szCs w:val="24"/>
        </w:rPr>
        <w:t>(1), 1506–1513.</w:t>
      </w:r>
    </w:p>
    <w:p w14:paraId="4C53A149"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Khogare, D. . (2012). Effect of dietary fiber on blood lipid profile of selected respondent. </w:t>
      </w:r>
      <w:r w:rsidRPr="00295A79">
        <w:rPr>
          <w:rFonts w:ascii="Cambria" w:hAnsi="Cambria" w:cs="Times New Roman"/>
          <w:i/>
          <w:iCs/>
          <w:noProof/>
          <w:szCs w:val="24"/>
        </w:rPr>
        <w:t>International Food Research Journal</w:t>
      </w:r>
      <w:r w:rsidRPr="00295A79">
        <w:rPr>
          <w:rFonts w:ascii="Cambria" w:hAnsi="Cambria" w:cs="Times New Roman"/>
          <w:noProof/>
          <w:szCs w:val="24"/>
        </w:rPr>
        <w:t xml:space="preserve">, </w:t>
      </w:r>
      <w:r w:rsidRPr="00295A79">
        <w:rPr>
          <w:rFonts w:ascii="Cambria" w:hAnsi="Cambria" w:cs="Times New Roman"/>
          <w:i/>
          <w:iCs/>
          <w:noProof/>
          <w:szCs w:val="24"/>
        </w:rPr>
        <w:t>19</w:t>
      </w:r>
      <w:r w:rsidRPr="00295A79">
        <w:rPr>
          <w:rFonts w:ascii="Cambria" w:hAnsi="Cambria" w:cs="Times New Roman"/>
          <w:noProof/>
          <w:szCs w:val="24"/>
        </w:rPr>
        <w:t>(1), 297–302.</w:t>
      </w:r>
    </w:p>
    <w:p w14:paraId="3F5F4603"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Lafta, M. A. (2014). Comparative Study for Some Atherogenic Indices in Sera of Myocardial infarction, Ischemic Heart Disease Patients and Control. </w:t>
      </w:r>
      <w:r w:rsidRPr="00295A79">
        <w:rPr>
          <w:rFonts w:ascii="Cambria" w:hAnsi="Cambria" w:cs="Times New Roman"/>
          <w:i/>
          <w:iCs/>
          <w:noProof/>
          <w:szCs w:val="24"/>
        </w:rPr>
        <w:t>Journal of Natural Sciences Research</w:t>
      </w:r>
      <w:r w:rsidRPr="00295A79">
        <w:rPr>
          <w:rFonts w:ascii="Cambria" w:hAnsi="Cambria" w:cs="Times New Roman"/>
          <w:noProof/>
          <w:szCs w:val="24"/>
        </w:rPr>
        <w:t xml:space="preserve">, </w:t>
      </w:r>
      <w:r w:rsidRPr="00295A79">
        <w:rPr>
          <w:rFonts w:ascii="Cambria" w:hAnsi="Cambria" w:cs="Times New Roman"/>
          <w:i/>
          <w:iCs/>
          <w:noProof/>
          <w:szCs w:val="24"/>
        </w:rPr>
        <w:t>4</w:t>
      </w:r>
      <w:r w:rsidRPr="00295A79">
        <w:rPr>
          <w:rFonts w:ascii="Cambria" w:hAnsi="Cambria" w:cs="Times New Roman"/>
          <w:noProof/>
          <w:szCs w:val="24"/>
        </w:rPr>
        <w:t>(8), 96–102.</w:t>
      </w:r>
    </w:p>
    <w:p w14:paraId="450DA86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Lee, R. D. (2010). Energy Balance and Body </w:t>
      </w:r>
      <w:r w:rsidRPr="00295A79">
        <w:rPr>
          <w:rFonts w:ascii="Cambria" w:hAnsi="Cambria" w:cs="Times New Roman"/>
          <w:noProof/>
          <w:szCs w:val="24"/>
        </w:rPr>
        <w:lastRenderedPageBreak/>
        <w:t xml:space="preserve">Weight. In S. L. R. Marcia Nelms, Kathryn P. Sucher, Karen Lacey (Ed.), </w:t>
      </w:r>
      <w:r w:rsidRPr="00295A79">
        <w:rPr>
          <w:rFonts w:ascii="Cambria" w:hAnsi="Cambria" w:cs="Times New Roman"/>
          <w:i/>
          <w:iCs/>
          <w:noProof/>
          <w:szCs w:val="24"/>
        </w:rPr>
        <w:t>Nutrition Therapy and Pathophysiology.</w:t>
      </w:r>
      <w:r w:rsidRPr="00295A79">
        <w:rPr>
          <w:rFonts w:ascii="Cambria" w:hAnsi="Cambria" w:cs="Times New Roman"/>
          <w:noProof/>
          <w:szCs w:val="24"/>
        </w:rPr>
        <w:t xml:space="preserve"> (2nd editio, pp. 245–248). Wadsworth: Cengage Learning.</w:t>
      </w:r>
    </w:p>
    <w:p w14:paraId="38030E14"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Madhu, K., Manjunath, C., Rawal, J., &amp; Irani, P. (2013). Atherogenic dyslipidemia. </w:t>
      </w:r>
      <w:r w:rsidRPr="00295A79">
        <w:rPr>
          <w:rFonts w:ascii="Cambria" w:hAnsi="Cambria" w:cs="Times New Roman"/>
          <w:i/>
          <w:iCs/>
          <w:noProof/>
          <w:szCs w:val="24"/>
        </w:rPr>
        <w:t>Indian Journal of Endocrinology and Metabolism</w:t>
      </w:r>
      <w:r w:rsidRPr="00295A79">
        <w:rPr>
          <w:rFonts w:ascii="Cambria" w:hAnsi="Cambria" w:cs="Times New Roman"/>
          <w:noProof/>
          <w:szCs w:val="24"/>
        </w:rPr>
        <w:t xml:space="preserve">, </w:t>
      </w:r>
      <w:r w:rsidRPr="00295A79">
        <w:rPr>
          <w:rFonts w:ascii="Cambria" w:hAnsi="Cambria" w:cs="Times New Roman"/>
          <w:i/>
          <w:iCs/>
          <w:noProof/>
          <w:szCs w:val="24"/>
        </w:rPr>
        <w:t>17</w:t>
      </w:r>
      <w:r w:rsidRPr="00295A79">
        <w:rPr>
          <w:rFonts w:ascii="Cambria" w:hAnsi="Cambria" w:cs="Times New Roman"/>
          <w:noProof/>
          <w:szCs w:val="24"/>
        </w:rPr>
        <w:t>(6), 969. https://doi.org/10.4103/2230-8210.122600</w:t>
      </w:r>
    </w:p>
    <w:p w14:paraId="683FDCBF"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Manurung, E. (2003). </w:t>
      </w:r>
      <w:r w:rsidRPr="00295A79">
        <w:rPr>
          <w:rFonts w:ascii="Cambria" w:hAnsi="Cambria" w:cs="Times New Roman"/>
          <w:i/>
          <w:iCs/>
          <w:noProof/>
          <w:szCs w:val="24"/>
        </w:rPr>
        <w:t>Hubungan antara Asupan Lemak Tak Jenuh Tunggal dengan Kadar Kolesterol Hight Density Lipoprotein Plasma penderita Penyakit Jantung Koroner.</w:t>
      </w:r>
      <w:r w:rsidRPr="00295A79">
        <w:rPr>
          <w:rFonts w:ascii="Cambria" w:hAnsi="Cambria" w:cs="Times New Roman"/>
          <w:noProof/>
          <w:szCs w:val="24"/>
        </w:rPr>
        <w:t xml:space="preserve"> Universitas Indonesia.</w:t>
      </w:r>
    </w:p>
    <w:p w14:paraId="7504702A"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Miller, M., Stone, N. J., Ballantyne, C., Bittner, V., Criqui, M. H., Ginsberg, H. N., … Pennathur, S. (2011). Triglycerides and Cardiovascular Disease. </w:t>
      </w:r>
      <w:r w:rsidRPr="00295A79">
        <w:rPr>
          <w:rFonts w:ascii="Cambria" w:hAnsi="Cambria" w:cs="Times New Roman"/>
          <w:i/>
          <w:iCs/>
          <w:noProof/>
          <w:szCs w:val="24"/>
        </w:rPr>
        <w:t>Circulation</w:t>
      </w:r>
      <w:r w:rsidRPr="00295A79">
        <w:rPr>
          <w:rFonts w:ascii="Cambria" w:hAnsi="Cambria" w:cs="Times New Roman"/>
          <w:noProof/>
          <w:szCs w:val="24"/>
        </w:rPr>
        <w:t xml:space="preserve">, </w:t>
      </w:r>
      <w:r w:rsidRPr="00295A79">
        <w:rPr>
          <w:rFonts w:ascii="Cambria" w:hAnsi="Cambria" w:cs="Times New Roman"/>
          <w:i/>
          <w:iCs/>
          <w:noProof/>
          <w:szCs w:val="24"/>
        </w:rPr>
        <w:t>123</w:t>
      </w:r>
      <w:r w:rsidRPr="00295A79">
        <w:rPr>
          <w:rFonts w:ascii="Cambria" w:hAnsi="Cambria" w:cs="Times New Roman"/>
          <w:noProof/>
          <w:szCs w:val="24"/>
        </w:rPr>
        <w:t>(20), 2292–2333. https://doi.org/10.1161/CIR.0b013e3182160726</w:t>
      </w:r>
    </w:p>
    <w:p w14:paraId="464FE0D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Monro, J. A., &amp; Shaw, M. (2008). Glycemic impact, glycemic glucose equivalents, glycemic index, and glycemic load: definitions, distinctions, and implications. </w:t>
      </w:r>
      <w:r w:rsidRPr="00295A79">
        <w:rPr>
          <w:rFonts w:ascii="Cambria" w:hAnsi="Cambria" w:cs="Times New Roman"/>
          <w:i/>
          <w:iCs/>
          <w:noProof/>
          <w:szCs w:val="24"/>
        </w:rPr>
        <w:t>The American Journal of Clinical Nutrition</w:t>
      </w:r>
      <w:r w:rsidRPr="00295A79">
        <w:rPr>
          <w:rFonts w:ascii="Cambria" w:hAnsi="Cambria" w:cs="Times New Roman"/>
          <w:noProof/>
          <w:szCs w:val="24"/>
        </w:rPr>
        <w:t xml:space="preserve">, </w:t>
      </w:r>
      <w:r w:rsidRPr="00295A79">
        <w:rPr>
          <w:rFonts w:ascii="Cambria" w:hAnsi="Cambria" w:cs="Times New Roman"/>
          <w:i/>
          <w:iCs/>
          <w:noProof/>
          <w:szCs w:val="24"/>
        </w:rPr>
        <w:t>87</w:t>
      </w:r>
      <w:r w:rsidRPr="00295A79">
        <w:rPr>
          <w:rFonts w:ascii="Cambria" w:hAnsi="Cambria" w:cs="Times New Roman"/>
          <w:noProof/>
          <w:szCs w:val="24"/>
        </w:rPr>
        <w:t>(1), 237S–243S. https://doi.org/10.1093/ajcn/87.1.237S</w:t>
      </w:r>
    </w:p>
    <w:p w14:paraId="01723D74"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Niroumand, S., Khajedaluee, M., Khadem-Rezaiyan, M., Abrishami, M., Juya, M., Khodaee, G., &amp; Dadgarmoghaddam, M. (2015). Atherogenic Index of Plasma (AIP): A marker of cardiovascular disease. </w:t>
      </w:r>
      <w:r w:rsidRPr="00295A79">
        <w:rPr>
          <w:rFonts w:ascii="Cambria" w:hAnsi="Cambria" w:cs="Times New Roman"/>
          <w:i/>
          <w:iCs/>
          <w:noProof/>
          <w:szCs w:val="24"/>
        </w:rPr>
        <w:t>Medical Journal of the Islamic Republic of Iran</w:t>
      </w:r>
      <w:r w:rsidRPr="00295A79">
        <w:rPr>
          <w:rFonts w:ascii="Cambria" w:hAnsi="Cambria" w:cs="Times New Roman"/>
          <w:noProof/>
          <w:szCs w:val="24"/>
        </w:rPr>
        <w:t xml:space="preserve">, </w:t>
      </w:r>
      <w:r w:rsidRPr="00295A79">
        <w:rPr>
          <w:rFonts w:ascii="Cambria" w:hAnsi="Cambria" w:cs="Times New Roman"/>
          <w:i/>
          <w:iCs/>
          <w:noProof/>
          <w:szCs w:val="24"/>
        </w:rPr>
        <w:t>29</w:t>
      </w:r>
      <w:r w:rsidRPr="00295A79">
        <w:rPr>
          <w:rFonts w:ascii="Cambria" w:hAnsi="Cambria" w:cs="Times New Roman"/>
          <w:noProof/>
          <w:szCs w:val="24"/>
        </w:rPr>
        <w:t>, 240. Retrieved from http://www.ncbi.nlm.nih.gov/pubmed/26793631</w:t>
      </w:r>
    </w:p>
    <w:p w14:paraId="16AC4357"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Olokoba, A. B., Obateru, O. A., &amp; Olokoba, L. B. (2012). Type 2 Diabetes Mellitus: A Review of Current Trends. </w:t>
      </w:r>
      <w:r w:rsidRPr="00295A79">
        <w:rPr>
          <w:rFonts w:ascii="Cambria" w:hAnsi="Cambria" w:cs="Times New Roman"/>
          <w:i/>
          <w:iCs/>
          <w:noProof/>
          <w:szCs w:val="24"/>
        </w:rPr>
        <w:t>Oman Medical Journal</w:t>
      </w:r>
      <w:r w:rsidRPr="00295A79">
        <w:rPr>
          <w:rFonts w:ascii="Cambria" w:hAnsi="Cambria" w:cs="Times New Roman"/>
          <w:noProof/>
          <w:szCs w:val="24"/>
        </w:rPr>
        <w:t xml:space="preserve">, </w:t>
      </w:r>
      <w:r w:rsidRPr="00295A79">
        <w:rPr>
          <w:rFonts w:ascii="Cambria" w:hAnsi="Cambria" w:cs="Times New Roman"/>
          <w:i/>
          <w:iCs/>
          <w:noProof/>
          <w:szCs w:val="24"/>
        </w:rPr>
        <w:t>27</w:t>
      </w:r>
      <w:r w:rsidRPr="00295A79">
        <w:rPr>
          <w:rFonts w:ascii="Cambria" w:hAnsi="Cambria" w:cs="Times New Roman"/>
          <w:noProof/>
          <w:szCs w:val="24"/>
        </w:rPr>
        <w:t>(4), 269–273. https://doi.org/10.5001/omj.2012.68</w:t>
      </w:r>
    </w:p>
    <w:p w14:paraId="69A01CEC"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Ortíz Cruz, R. A., Cárdenas López, J. L., González Aguilar, G. A., Astiazarán García, H., Gorinstein, S., Canett Romero, R., &amp; Robles Sánchez, M. (2015). Influence of Sorghum Kafirin on Serum Lipid Profile and Antioxidant Activity in Hyperlipidemic Rats ( In Vitro and In Vivo Studies). </w:t>
      </w:r>
      <w:r w:rsidRPr="00295A79">
        <w:rPr>
          <w:rFonts w:ascii="Cambria" w:hAnsi="Cambria" w:cs="Times New Roman"/>
          <w:i/>
          <w:iCs/>
          <w:noProof/>
          <w:szCs w:val="24"/>
        </w:rPr>
        <w:t>BioMed Research International</w:t>
      </w:r>
      <w:r w:rsidRPr="00295A79">
        <w:rPr>
          <w:rFonts w:ascii="Cambria" w:hAnsi="Cambria" w:cs="Times New Roman"/>
          <w:noProof/>
          <w:szCs w:val="24"/>
        </w:rPr>
        <w:t xml:space="preserve">, </w:t>
      </w:r>
      <w:r w:rsidRPr="00295A79">
        <w:rPr>
          <w:rFonts w:ascii="Cambria" w:hAnsi="Cambria" w:cs="Times New Roman"/>
          <w:i/>
          <w:iCs/>
          <w:noProof/>
          <w:szCs w:val="24"/>
        </w:rPr>
        <w:t>2015</w:t>
      </w:r>
      <w:r w:rsidRPr="00295A79">
        <w:rPr>
          <w:rFonts w:ascii="Cambria" w:hAnsi="Cambria" w:cs="Times New Roman"/>
          <w:noProof/>
          <w:szCs w:val="24"/>
        </w:rPr>
        <w:t>, 1–8. https://doi.org/10.1155/2015/164725</w:t>
      </w:r>
    </w:p>
    <w:p w14:paraId="3E82778B"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Pari, L., &amp; Srinivasan, S. (2010). Antihyperglycemic effect of diosmin on </w:t>
      </w:r>
      <w:r w:rsidRPr="00295A79">
        <w:rPr>
          <w:rFonts w:ascii="Cambria" w:hAnsi="Cambria" w:cs="Times New Roman"/>
          <w:noProof/>
          <w:szCs w:val="24"/>
        </w:rPr>
        <w:t xml:space="preserve">hepatic key enzymes of carbohydrate metabolism in streptozotocin-nicotinamide-induced diabetic rats. </w:t>
      </w:r>
      <w:r w:rsidRPr="00295A79">
        <w:rPr>
          <w:rFonts w:ascii="Cambria" w:hAnsi="Cambria" w:cs="Times New Roman"/>
          <w:i/>
          <w:iCs/>
          <w:noProof/>
          <w:szCs w:val="24"/>
        </w:rPr>
        <w:t>Biomedicine &amp; Pharmacotherapy</w:t>
      </w:r>
      <w:r w:rsidRPr="00295A79">
        <w:rPr>
          <w:rFonts w:ascii="Cambria" w:hAnsi="Cambria" w:cs="Times New Roman"/>
          <w:noProof/>
          <w:szCs w:val="24"/>
        </w:rPr>
        <w:t xml:space="preserve">, </w:t>
      </w:r>
      <w:r w:rsidRPr="00295A79">
        <w:rPr>
          <w:rFonts w:ascii="Cambria" w:hAnsi="Cambria" w:cs="Times New Roman"/>
          <w:i/>
          <w:iCs/>
          <w:noProof/>
          <w:szCs w:val="24"/>
        </w:rPr>
        <w:t>64</w:t>
      </w:r>
      <w:r w:rsidRPr="00295A79">
        <w:rPr>
          <w:rFonts w:ascii="Cambria" w:hAnsi="Cambria" w:cs="Times New Roman"/>
          <w:noProof/>
          <w:szCs w:val="24"/>
        </w:rPr>
        <w:t>(7), 477–481. https://doi.org/10.1016/j.biopha.2010.02.001</w:t>
      </w:r>
    </w:p>
    <w:p w14:paraId="2E30DD93"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Park, J. H., Lee, S. H., Chung, I.-M., &amp; Park, Y. (2012). Sorghum extract exerts an anti-diabetic effect by improving insulin sensitivity via PPAR-γ in mice fed a high-fat diet. </w:t>
      </w:r>
      <w:r w:rsidRPr="00295A79">
        <w:rPr>
          <w:rFonts w:ascii="Cambria" w:hAnsi="Cambria" w:cs="Times New Roman"/>
          <w:i/>
          <w:iCs/>
          <w:noProof/>
          <w:szCs w:val="24"/>
        </w:rPr>
        <w:t>Nutrition Research and Practice</w:t>
      </w:r>
      <w:r w:rsidRPr="00295A79">
        <w:rPr>
          <w:rFonts w:ascii="Cambria" w:hAnsi="Cambria" w:cs="Times New Roman"/>
          <w:noProof/>
          <w:szCs w:val="24"/>
        </w:rPr>
        <w:t xml:space="preserve">, </w:t>
      </w:r>
      <w:r w:rsidRPr="00295A79">
        <w:rPr>
          <w:rFonts w:ascii="Cambria" w:hAnsi="Cambria" w:cs="Times New Roman"/>
          <w:i/>
          <w:iCs/>
          <w:noProof/>
          <w:szCs w:val="24"/>
        </w:rPr>
        <w:t>6</w:t>
      </w:r>
      <w:r w:rsidRPr="00295A79">
        <w:rPr>
          <w:rFonts w:ascii="Cambria" w:hAnsi="Cambria" w:cs="Times New Roman"/>
          <w:noProof/>
          <w:szCs w:val="24"/>
        </w:rPr>
        <w:t>(4), 322. https://doi.org/10.4162/nrp.2012.6.4.322</w:t>
      </w:r>
    </w:p>
    <w:p w14:paraId="23B10E38"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Piraloo, Z., Forouhari, S., Ghaemi, S.-Z., Mohammadi, Z., Rostambeigy, P., Piraloo, M., … Mohammadi, M. (2014). The Effect of High Fiber Diet on Lipid Profile of Obese Young Girls : a Randomized Crossover Clinical Trial. </w:t>
      </w:r>
      <w:r w:rsidRPr="00295A79">
        <w:rPr>
          <w:rFonts w:ascii="Cambria" w:hAnsi="Cambria" w:cs="Times New Roman"/>
          <w:i/>
          <w:iCs/>
          <w:noProof/>
          <w:szCs w:val="24"/>
        </w:rPr>
        <w:t>IEJM</w:t>
      </w:r>
      <w:r w:rsidRPr="00295A79">
        <w:rPr>
          <w:rFonts w:ascii="Cambria" w:hAnsi="Cambria" w:cs="Times New Roman"/>
          <w:noProof/>
          <w:szCs w:val="24"/>
        </w:rPr>
        <w:t xml:space="preserve">, </w:t>
      </w:r>
      <w:r w:rsidRPr="00295A79">
        <w:rPr>
          <w:rFonts w:ascii="Cambria" w:hAnsi="Cambria" w:cs="Times New Roman"/>
          <w:i/>
          <w:iCs/>
          <w:noProof/>
          <w:szCs w:val="24"/>
        </w:rPr>
        <w:t>3</w:t>
      </w:r>
      <w:r w:rsidRPr="00295A79">
        <w:rPr>
          <w:rFonts w:ascii="Cambria" w:hAnsi="Cambria" w:cs="Times New Roman"/>
          <w:noProof/>
          <w:szCs w:val="24"/>
        </w:rPr>
        <w:t>(1), 19–24.</w:t>
      </w:r>
    </w:p>
    <w:p w14:paraId="5A7B4E9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Rajarajeswari, N., &amp; Pari, L. (2011). Antioxidant role of coumarin on streptozotocin-nicotinamide-induced type 2 diabetic rats. </w:t>
      </w:r>
      <w:r w:rsidRPr="00295A79">
        <w:rPr>
          <w:rFonts w:ascii="Cambria" w:hAnsi="Cambria" w:cs="Times New Roman"/>
          <w:i/>
          <w:iCs/>
          <w:noProof/>
          <w:szCs w:val="24"/>
        </w:rPr>
        <w:t>Journal of Biochemical and Molecular Toxicology</w:t>
      </w:r>
      <w:r w:rsidRPr="00295A79">
        <w:rPr>
          <w:rFonts w:ascii="Cambria" w:hAnsi="Cambria" w:cs="Times New Roman"/>
          <w:noProof/>
          <w:szCs w:val="24"/>
        </w:rPr>
        <w:t xml:space="preserve">, </w:t>
      </w:r>
      <w:r w:rsidRPr="00295A79">
        <w:rPr>
          <w:rFonts w:ascii="Cambria" w:hAnsi="Cambria" w:cs="Times New Roman"/>
          <w:i/>
          <w:iCs/>
          <w:noProof/>
          <w:szCs w:val="24"/>
        </w:rPr>
        <w:t>25</w:t>
      </w:r>
      <w:r w:rsidRPr="00295A79">
        <w:rPr>
          <w:rFonts w:ascii="Cambria" w:hAnsi="Cambria" w:cs="Times New Roman"/>
          <w:noProof/>
          <w:szCs w:val="24"/>
        </w:rPr>
        <w:t>(6), 355–361. https://doi.org/10.1002/jbt.20395</w:t>
      </w:r>
    </w:p>
    <w:p w14:paraId="4781CA72"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Regmi, P., Gyawali, P., Shrestha, R., Sigdel, M., Mehta, K. D., &amp; Majh, S. (2009). Pattern of Dyslipidemia in Type 2 Diabetic Subjects in Eastern Nepal. </w:t>
      </w:r>
      <w:r w:rsidRPr="00295A79">
        <w:rPr>
          <w:rFonts w:ascii="Cambria" w:hAnsi="Cambria" w:cs="Times New Roman"/>
          <w:i/>
          <w:iCs/>
          <w:noProof/>
          <w:szCs w:val="24"/>
        </w:rPr>
        <w:t>Journal of Nepal Association for Medical Laboratory Sciences</w:t>
      </w:r>
      <w:r w:rsidRPr="00295A79">
        <w:rPr>
          <w:rFonts w:ascii="Cambria" w:hAnsi="Cambria" w:cs="Times New Roman"/>
          <w:noProof/>
          <w:szCs w:val="24"/>
        </w:rPr>
        <w:t xml:space="preserve">, </w:t>
      </w:r>
      <w:r w:rsidRPr="00295A79">
        <w:rPr>
          <w:rFonts w:ascii="Cambria" w:hAnsi="Cambria" w:cs="Times New Roman"/>
          <w:i/>
          <w:iCs/>
          <w:noProof/>
          <w:szCs w:val="24"/>
        </w:rPr>
        <w:t>10</w:t>
      </w:r>
      <w:r w:rsidRPr="00295A79">
        <w:rPr>
          <w:rFonts w:ascii="Cambria" w:hAnsi="Cambria" w:cs="Times New Roman"/>
          <w:noProof/>
          <w:szCs w:val="24"/>
        </w:rPr>
        <w:t>(1), 11–13.</w:t>
      </w:r>
    </w:p>
    <w:p w14:paraId="594052FA"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Reimer, R. A., Grover, G. J., Koetzner, L., Gahler, R. J., Lyon, M. R., &amp; Wood, S. (2011). The soluble fiber complex PolyGlycopleX lowers serum triglycerides and reduces hepatic steatosis in high-sucrose-fed rats. </w:t>
      </w:r>
      <w:r w:rsidRPr="00295A79">
        <w:rPr>
          <w:rFonts w:ascii="Cambria" w:hAnsi="Cambria" w:cs="Times New Roman"/>
          <w:i/>
          <w:iCs/>
          <w:noProof/>
          <w:szCs w:val="24"/>
        </w:rPr>
        <w:t>Nutrition Research</w:t>
      </w:r>
      <w:r w:rsidRPr="00295A79">
        <w:rPr>
          <w:rFonts w:ascii="Cambria" w:hAnsi="Cambria" w:cs="Times New Roman"/>
          <w:noProof/>
          <w:szCs w:val="24"/>
        </w:rPr>
        <w:t xml:space="preserve">, </w:t>
      </w:r>
      <w:r w:rsidRPr="00295A79">
        <w:rPr>
          <w:rFonts w:ascii="Cambria" w:hAnsi="Cambria" w:cs="Times New Roman"/>
          <w:i/>
          <w:iCs/>
          <w:noProof/>
          <w:szCs w:val="24"/>
        </w:rPr>
        <w:t>31</w:t>
      </w:r>
      <w:r w:rsidRPr="00295A79">
        <w:rPr>
          <w:rFonts w:ascii="Cambria" w:hAnsi="Cambria" w:cs="Times New Roman"/>
          <w:noProof/>
          <w:szCs w:val="24"/>
        </w:rPr>
        <w:t>(4), 296–301. https://doi.org/10.1016/j.nutres.2011.03.012</w:t>
      </w:r>
    </w:p>
    <w:p w14:paraId="13BC195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Salimi, Y. K. (2012). </w:t>
      </w:r>
      <w:r w:rsidRPr="00295A79">
        <w:rPr>
          <w:rFonts w:ascii="Cambria" w:hAnsi="Cambria" w:cs="Times New Roman"/>
          <w:i/>
          <w:iCs/>
          <w:noProof/>
          <w:szCs w:val="24"/>
        </w:rPr>
        <w:t>Peranan Ekstrak dan Tepung Sorgum (Sorghum bicolor L.) dalam Penghambatan Kanker secara in vitro dan in vivo pada Mencit BALB/c</w:t>
      </w:r>
      <w:r w:rsidRPr="00295A79">
        <w:rPr>
          <w:rFonts w:ascii="Cambria" w:hAnsi="Cambria" w:cs="Times New Roman"/>
          <w:noProof/>
          <w:szCs w:val="24"/>
        </w:rPr>
        <w:t>. Institut Pertanian Bogor.</w:t>
      </w:r>
    </w:p>
    <w:p w14:paraId="3223D965"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Savych, A., &amp; Marchyshyn., S. (2017). Investigation of pharmacological activity the new antidiabetic plant gathering in streptozotocin-nicotinamide-induced diabetes in the rats. </w:t>
      </w:r>
      <w:r w:rsidRPr="00295A79">
        <w:rPr>
          <w:rFonts w:ascii="Cambria" w:hAnsi="Cambria" w:cs="Times New Roman"/>
          <w:i/>
          <w:iCs/>
          <w:noProof/>
          <w:szCs w:val="24"/>
        </w:rPr>
        <w:t>The Pharma Innovation Journal</w:t>
      </w:r>
      <w:r w:rsidRPr="00295A79">
        <w:rPr>
          <w:rFonts w:ascii="Cambria" w:hAnsi="Cambria" w:cs="Times New Roman"/>
          <w:noProof/>
          <w:szCs w:val="24"/>
        </w:rPr>
        <w:t xml:space="preserve">, </w:t>
      </w:r>
      <w:r w:rsidRPr="00295A79">
        <w:rPr>
          <w:rFonts w:ascii="Cambria" w:hAnsi="Cambria" w:cs="Times New Roman"/>
          <w:i/>
          <w:iCs/>
          <w:noProof/>
          <w:szCs w:val="24"/>
        </w:rPr>
        <w:t>6</w:t>
      </w:r>
      <w:r w:rsidRPr="00295A79">
        <w:rPr>
          <w:rFonts w:ascii="Cambria" w:hAnsi="Cambria" w:cs="Times New Roman"/>
          <w:noProof/>
          <w:szCs w:val="24"/>
        </w:rPr>
        <w:t>(3), 175–177.</w:t>
      </w:r>
    </w:p>
    <w:p w14:paraId="2457CE89"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Shen, R.-L., Zhang, W.-L., Dong, J.-L., Ren, G.-X., &amp; </w:t>
      </w:r>
      <w:r w:rsidRPr="00295A79">
        <w:rPr>
          <w:rFonts w:ascii="Cambria" w:hAnsi="Cambria" w:cs="Times New Roman"/>
          <w:noProof/>
          <w:szCs w:val="24"/>
        </w:rPr>
        <w:lastRenderedPageBreak/>
        <w:t xml:space="preserve">Chen, M. (2015). Sorghum resistant starch reduces adiposity in high-fat diet-induced overweight and obese rats via mechanisms involving adipokines and intestinal flora. </w:t>
      </w:r>
      <w:r w:rsidRPr="00295A79">
        <w:rPr>
          <w:rFonts w:ascii="Cambria" w:hAnsi="Cambria" w:cs="Times New Roman"/>
          <w:i/>
          <w:iCs/>
          <w:noProof/>
          <w:szCs w:val="24"/>
        </w:rPr>
        <w:t>Food and Agricultural Immunology</w:t>
      </w:r>
      <w:r w:rsidRPr="00295A79">
        <w:rPr>
          <w:rFonts w:ascii="Cambria" w:hAnsi="Cambria" w:cs="Times New Roman"/>
          <w:noProof/>
          <w:szCs w:val="24"/>
        </w:rPr>
        <w:t xml:space="preserve">, </w:t>
      </w:r>
      <w:r w:rsidRPr="00295A79">
        <w:rPr>
          <w:rFonts w:ascii="Cambria" w:hAnsi="Cambria" w:cs="Times New Roman"/>
          <w:i/>
          <w:iCs/>
          <w:noProof/>
          <w:szCs w:val="24"/>
        </w:rPr>
        <w:t>26</w:t>
      </w:r>
      <w:r w:rsidRPr="00295A79">
        <w:rPr>
          <w:rFonts w:ascii="Cambria" w:hAnsi="Cambria" w:cs="Times New Roman"/>
          <w:noProof/>
          <w:szCs w:val="24"/>
        </w:rPr>
        <w:t>(1), 120–130. https://doi.org/10.1080/09540105.2013.876976</w:t>
      </w:r>
    </w:p>
    <w:p w14:paraId="579B2540"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Suliartini, N. W. S., Sadimantara, G. R., &amp; Muhidin1, T. W. dan. (2011). Pengujian Kadar Antosianin Padi Gogo Beras Merah Hasil Koleksi Plasma Nutfah Sulawesi Tenggara. </w:t>
      </w:r>
      <w:r w:rsidRPr="00295A79">
        <w:rPr>
          <w:rFonts w:ascii="Cambria" w:hAnsi="Cambria" w:cs="Times New Roman"/>
          <w:i/>
          <w:iCs/>
          <w:noProof/>
          <w:szCs w:val="24"/>
        </w:rPr>
        <w:t>Crop Agro</w:t>
      </w:r>
      <w:r w:rsidRPr="00295A79">
        <w:rPr>
          <w:rFonts w:ascii="Cambria" w:hAnsi="Cambria" w:cs="Times New Roman"/>
          <w:noProof/>
          <w:szCs w:val="24"/>
        </w:rPr>
        <w:t xml:space="preserve">, </w:t>
      </w:r>
      <w:r w:rsidRPr="00295A79">
        <w:rPr>
          <w:rFonts w:ascii="Cambria" w:hAnsi="Cambria" w:cs="Times New Roman"/>
          <w:i/>
          <w:iCs/>
          <w:noProof/>
          <w:szCs w:val="24"/>
        </w:rPr>
        <w:t>4</w:t>
      </w:r>
      <w:r w:rsidRPr="00295A79">
        <w:rPr>
          <w:rFonts w:ascii="Cambria" w:hAnsi="Cambria" w:cs="Times New Roman"/>
          <w:noProof/>
          <w:szCs w:val="24"/>
        </w:rPr>
        <w:t>(2), 43–48.</w:t>
      </w:r>
    </w:p>
    <w:p w14:paraId="75F0ED07"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Sutrisna, N. (2012). Sorgum untuk Penganekaragaman Pangan. </w:t>
      </w:r>
      <w:r w:rsidRPr="00295A79">
        <w:rPr>
          <w:rFonts w:ascii="Cambria" w:hAnsi="Cambria" w:cs="Times New Roman"/>
          <w:i/>
          <w:iCs/>
          <w:noProof/>
          <w:szCs w:val="24"/>
        </w:rPr>
        <w:t>Badan Litbang Pertanian</w:t>
      </w:r>
      <w:r w:rsidRPr="00295A79">
        <w:rPr>
          <w:rFonts w:ascii="Cambria" w:hAnsi="Cambria" w:cs="Times New Roman"/>
          <w:noProof/>
          <w:szCs w:val="24"/>
        </w:rPr>
        <w:t>, 11–12.</w:t>
      </w:r>
    </w:p>
    <w:p w14:paraId="36C20B26"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Velázquez-López, L., Muñoz-Torres, A. V., García-Peña, C., López-Alarcón, M., Islas-Andrade, </w:t>
      </w:r>
      <w:r w:rsidRPr="00295A79">
        <w:rPr>
          <w:rFonts w:ascii="Cambria" w:hAnsi="Cambria" w:cs="Times New Roman"/>
          <w:noProof/>
          <w:szCs w:val="24"/>
        </w:rPr>
        <w:t xml:space="preserve">S., &amp; Escobedo-de la Peña, J. (2016). Fiber in Diet Is Associated with Improvement of Glycated Hemoglobin and Lipid Profile in Mexican Patients with Type 2 Diabetes. </w:t>
      </w:r>
      <w:r w:rsidRPr="00295A79">
        <w:rPr>
          <w:rFonts w:ascii="Cambria" w:hAnsi="Cambria" w:cs="Times New Roman"/>
          <w:i/>
          <w:iCs/>
          <w:noProof/>
          <w:szCs w:val="24"/>
        </w:rPr>
        <w:t>Journal of Diabetes Research</w:t>
      </w:r>
      <w:r w:rsidRPr="00295A79">
        <w:rPr>
          <w:rFonts w:ascii="Cambria" w:hAnsi="Cambria" w:cs="Times New Roman"/>
          <w:noProof/>
          <w:szCs w:val="24"/>
        </w:rPr>
        <w:t xml:space="preserve">, </w:t>
      </w:r>
      <w:r w:rsidRPr="00295A79">
        <w:rPr>
          <w:rFonts w:ascii="Cambria" w:hAnsi="Cambria" w:cs="Times New Roman"/>
          <w:i/>
          <w:iCs/>
          <w:noProof/>
          <w:szCs w:val="24"/>
        </w:rPr>
        <w:t>2016</w:t>
      </w:r>
      <w:r w:rsidRPr="00295A79">
        <w:rPr>
          <w:rFonts w:ascii="Cambria" w:hAnsi="Cambria" w:cs="Times New Roman"/>
          <w:noProof/>
          <w:szCs w:val="24"/>
        </w:rPr>
        <w:t>, 1–9. https://doi.org/10.1155/2016/2980406</w:t>
      </w:r>
    </w:p>
    <w:p w14:paraId="4D326FF8"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cs="Times New Roman"/>
          <w:noProof/>
          <w:szCs w:val="24"/>
        </w:rPr>
      </w:pPr>
      <w:r w:rsidRPr="00295A79">
        <w:rPr>
          <w:rFonts w:ascii="Cambria" w:hAnsi="Cambria" w:cs="Times New Roman"/>
          <w:noProof/>
          <w:szCs w:val="24"/>
        </w:rPr>
        <w:t xml:space="preserve">Wresdiyati, T., Hartanta, A. B., &amp; Astawan, M. (2012). Tepung Rumput Laut (Eucheuma Cottonii) Menaikkan Level Superoksida Dismutase (Sod) Ginjal Tikus Hiperkolesterolemia. </w:t>
      </w:r>
      <w:r w:rsidRPr="00295A79">
        <w:rPr>
          <w:rFonts w:ascii="Cambria" w:hAnsi="Cambria" w:cs="Times New Roman"/>
          <w:i/>
          <w:iCs/>
          <w:noProof/>
          <w:szCs w:val="24"/>
        </w:rPr>
        <w:t>Jurnal Veteriner</w:t>
      </w:r>
      <w:r w:rsidRPr="00295A79">
        <w:rPr>
          <w:rFonts w:ascii="Cambria" w:hAnsi="Cambria" w:cs="Times New Roman"/>
          <w:noProof/>
          <w:szCs w:val="24"/>
        </w:rPr>
        <w:t xml:space="preserve">, </w:t>
      </w:r>
      <w:r w:rsidRPr="00295A79">
        <w:rPr>
          <w:rFonts w:ascii="Cambria" w:hAnsi="Cambria" w:cs="Times New Roman"/>
          <w:i/>
          <w:iCs/>
          <w:noProof/>
          <w:szCs w:val="24"/>
        </w:rPr>
        <w:t>12</w:t>
      </w:r>
      <w:r w:rsidRPr="00295A79">
        <w:rPr>
          <w:rFonts w:ascii="Cambria" w:hAnsi="Cambria" w:cs="Times New Roman"/>
          <w:noProof/>
          <w:szCs w:val="24"/>
        </w:rPr>
        <w:t>(2), 125–135.</w:t>
      </w:r>
    </w:p>
    <w:p w14:paraId="22FE5BA8" w14:textId="77777777" w:rsidR="00AE2391" w:rsidRPr="00295A79" w:rsidRDefault="00AE2391" w:rsidP="00AE2391">
      <w:pPr>
        <w:widowControl w:val="0"/>
        <w:autoSpaceDE w:val="0"/>
        <w:autoSpaceDN w:val="0"/>
        <w:adjustRightInd w:val="0"/>
        <w:spacing w:after="0" w:line="240" w:lineRule="auto"/>
        <w:ind w:left="480" w:hanging="480"/>
        <w:jc w:val="both"/>
        <w:rPr>
          <w:rFonts w:ascii="Cambria" w:hAnsi="Cambria"/>
          <w:noProof/>
        </w:rPr>
      </w:pPr>
      <w:r w:rsidRPr="00295A79">
        <w:rPr>
          <w:rFonts w:ascii="Cambria" w:hAnsi="Cambria" w:cs="Times New Roman"/>
          <w:noProof/>
          <w:szCs w:val="24"/>
        </w:rPr>
        <w:t xml:space="preserve">Yang, R., &amp; Barouch, L. A. (2007). Leptin Signaling and Obesity. </w:t>
      </w:r>
      <w:r w:rsidRPr="00295A79">
        <w:rPr>
          <w:rFonts w:ascii="Cambria" w:hAnsi="Cambria" w:cs="Times New Roman"/>
          <w:i/>
          <w:iCs/>
          <w:noProof/>
          <w:szCs w:val="24"/>
        </w:rPr>
        <w:t>Circulation Research</w:t>
      </w:r>
      <w:r w:rsidRPr="00295A79">
        <w:rPr>
          <w:rFonts w:ascii="Cambria" w:hAnsi="Cambria" w:cs="Times New Roman"/>
          <w:noProof/>
          <w:szCs w:val="24"/>
        </w:rPr>
        <w:t xml:space="preserve">, </w:t>
      </w:r>
      <w:r w:rsidRPr="00295A79">
        <w:rPr>
          <w:rFonts w:ascii="Cambria" w:hAnsi="Cambria" w:cs="Times New Roman"/>
          <w:i/>
          <w:iCs/>
          <w:noProof/>
          <w:szCs w:val="24"/>
        </w:rPr>
        <w:t>101</w:t>
      </w:r>
      <w:r w:rsidRPr="00295A79">
        <w:rPr>
          <w:rFonts w:ascii="Cambria" w:hAnsi="Cambria" w:cs="Times New Roman"/>
          <w:noProof/>
          <w:szCs w:val="24"/>
        </w:rPr>
        <w:t>(6), 545–559. https://doi.org/10.1161/CIRCRESAHA.107.156596</w:t>
      </w:r>
    </w:p>
    <w:p w14:paraId="130EF85A" w14:textId="77777777" w:rsidR="00244D84" w:rsidRDefault="00AE2391" w:rsidP="00AE2391">
      <w:pPr>
        <w:widowControl w:val="0"/>
        <w:spacing w:after="0" w:line="240" w:lineRule="auto"/>
        <w:ind w:left="567" w:hanging="567"/>
        <w:jc w:val="both"/>
        <w:rPr>
          <w:rFonts w:ascii="Cambria" w:eastAsia="Cambria" w:hAnsi="Cambria" w:cs="Cambria"/>
        </w:rPr>
        <w:sectPr w:rsidR="00244D84">
          <w:type w:val="continuous"/>
          <w:pgSz w:w="11906" w:h="16838"/>
          <w:pgMar w:top="1701" w:right="1134" w:bottom="1134" w:left="1134" w:header="720" w:footer="720" w:gutter="0"/>
          <w:cols w:num="2" w:space="720" w:equalWidth="0">
            <w:col w:w="4591" w:space="454"/>
            <w:col w:w="4591" w:space="0"/>
          </w:cols>
          <w:titlePg/>
        </w:sectPr>
      </w:pPr>
      <w:r>
        <w:rPr>
          <w:rFonts w:ascii="Cambria" w:eastAsia="Cambria" w:hAnsi="Cambria" w:cs="Cambria"/>
        </w:rPr>
        <w:fldChar w:fldCharType="end"/>
      </w:r>
    </w:p>
    <w:p w14:paraId="405A50A3" w14:textId="77777777" w:rsidR="00244D84" w:rsidRDefault="00244D84">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sectPr w:rsidR="00244D84">
      <w:type w:val="continuous"/>
      <w:pgSz w:w="11906" w:h="16838"/>
      <w:pgMar w:top="1701" w:right="1134" w:bottom="1134"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rmasari Widyastuti" w:date="2022-01-29T08:19:00Z" w:initials="NW">
    <w:p w14:paraId="139F9435" w14:textId="7FD9637F" w:rsidR="003E53D4" w:rsidRDefault="003E53D4">
      <w:pPr>
        <w:pStyle w:val="CommentText"/>
      </w:pPr>
      <w:r>
        <w:rPr>
          <w:rStyle w:val="CommentReference"/>
        </w:rPr>
        <w:annotationRef/>
      </w:r>
      <w:proofErr w:type="spellStart"/>
      <w:r>
        <w:t>Sudah</w:t>
      </w:r>
      <w:proofErr w:type="spellEnd"/>
      <w:r>
        <w:t xml:space="preserve"> </w:t>
      </w:r>
      <w:proofErr w:type="spellStart"/>
      <w:r>
        <w:t>disertakan</w:t>
      </w:r>
      <w:proofErr w:type="spellEnd"/>
      <w:r>
        <w:t xml:space="preserve"> no dan </w:t>
      </w:r>
      <w:proofErr w:type="spellStart"/>
      <w:r>
        <w:t>tanggal</w:t>
      </w:r>
      <w:proofErr w:type="spellEnd"/>
      <w:r>
        <w:t xml:space="preserve"> </w:t>
      </w:r>
      <w:proofErr w:type="spellStart"/>
      <w:r>
        <w:t>surat</w:t>
      </w:r>
      <w:proofErr w:type="spellEnd"/>
      <w:r>
        <w:t xml:space="preserve"> </w:t>
      </w:r>
      <w:proofErr w:type="spellStart"/>
      <w:r>
        <w:t>persetujuan</w:t>
      </w:r>
      <w:proofErr w:type="spellEnd"/>
      <w:r>
        <w:t xml:space="preserve"> </w:t>
      </w:r>
      <w:proofErr w:type="spellStart"/>
      <w:r>
        <w:t>dari</w:t>
      </w:r>
      <w:proofErr w:type="spellEnd"/>
      <w:r>
        <w:t xml:space="preserve"> </w:t>
      </w:r>
      <w:proofErr w:type="spellStart"/>
      <w:r w:rsidR="00A62559">
        <w:t>Komisi</w:t>
      </w:r>
      <w:proofErr w:type="spellEnd"/>
      <w:r w:rsidR="00A62559">
        <w:t xml:space="preserve"> </w:t>
      </w:r>
      <w:proofErr w:type="spellStart"/>
      <w:r w:rsidR="00A62559">
        <w:t>Etik</w:t>
      </w:r>
      <w:proofErr w:type="spellEnd"/>
      <w:r w:rsidR="00A62559">
        <w:t xml:space="preserve"> </w:t>
      </w:r>
      <w:proofErr w:type="spellStart"/>
      <w:r w:rsidR="00A62559">
        <w:t>Penelitian</w:t>
      </w:r>
      <w:proofErr w:type="spellEnd"/>
      <w:r w:rsidR="00A62559">
        <w:t xml:space="preserve"> Kesehatan FK </w:t>
      </w:r>
      <w:proofErr w:type="spellStart"/>
      <w:r w:rsidR="00A62559">
        <w:t>Undip</w:t>
      </w:r>
      <w:proofErr w:type="spellEnd"/>
      <w:r w:rsidR="00A6255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F94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F7712" w16cex:dateUtc="2022-01-29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F9435" w16cid:durableId="259F7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E9A8" w14:textId="77777777" w:rsidR="00022EE1" w:rsidRDefault="00022EE1">
      <w:pPr>
        <w:spacing w:after="0" w:line="240" w:lineRule="auto"/>
      </w:pPr>
      <w:r>
        <w:separator/>
      </w:r>
    </w:p>
  </w:endnote>
  <w:endnote w:type="continuationSeparator" w:id="0">
    <w:p w14:paraId="628B861A" w14:textId="77777777" w:rsidR="00022EE1" w:rsidRDefault="0002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86C7" w14:textId="77777777" w:rsidR="00A933DB" w:rsidRDefault="00A933DB">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Grid>
      <w:gridCol w:w="4785"/>
      <w:gridCol w:w="4846"/>
    </w:tblGrid>
    <w:tr w:rsidR="00A933DB" w14:paraId="5D414085" w14:textId="77777777">
      <w:tc>
        <w:tcPr>
          <w:tcW w:w="4785" w:type="dxa"/>
        </w:tcPr>
        <w:p w14:paraId="245A581C" w14:textId="77777777" w:rsidR="00A933DB" w:rsidRDefault="00A933DB">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xml:space="preserve">. 2019; 1 – 10 </w:t>
          </w:r>
        </w:p>
      </w:tc>
      <w:tc>
        <w:tcPr>
          <w:tcW w:w="4846" w:type="dxa"/>
        </w:tcPr>
        <w:p w14:paraId="38F2FF84" w14:textId="77777777" w:rsidR="00A933DB" w:rsidRDefault="00022EE1">
          <w:pPr>
            <w:pBdr>
              <w:top w:val="nil"/>
              <w:left w:val="nil"/>
              <w:bottom w:val="nil"/>
              <w:right w:val="nil"/>
              <w:between w:val="nil"/>
            </w:pBdr>
            <w:tabs>
              <w:tab w:val="center" w:pos="4680"/>
              <w:tab w:val="right" w:pos="9360"/>
            </w:tabs>
            <w:ind w:left="-111" w:right="-115"/>
            <w:jc w:val="right"/>
            <w:rPr>
              <w:rFonts w:ascii="Cambria" w:eastAsia="Cambria" w:hAnsi="Cambria" w:cs="Cambria"/>
              <w:i/>
              <w:color w:val="000000"/>
            </w:rPr>
          </w:pPr>
          <w:hyperlink r:id="rId1">
            <w:r w:rsidR="00A933DB">
              <w:rPr>
                <w:rFonts w:ascii="Cambria" w:eastAsia="Cambria" w:hAnsi="Cambria" w:cs="Cambria"/>
                <w:i/>
                <w:color w:val="0563C1"/>
                <w:u w:val="single"/>
              </w:rPr>
              <w:t>http://ejournal.poltekkesaceh.ac.id/index.php/an</w:t>
            </w:r>
          </w:hyperlink>
        </w:p>
      </w:tc>
    </w:tr>
  </w:tbl>
  <w:p w14:paraId="2B5518CB" w14:textId="77777777" w:rsidR="00A933DB" w:rsidRDefault="00A933DB">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3F10" w14:textId="77777777" w:rsidR="00022EE1" w:rsidRDefault="00022EE1">
      <w:pPr>
        <w:spacing w:after="0" w:line="240" w:lineRule="auto"/>
      </w:pPr>
      <w:r>
        <w:separator/>
      </w:r>
    </w:p>
  </w:footnote>
  <w:footnote w:type="continuationSeparator" w:id="0">
    <w:p w14:paraId="5402142A" w14:textId="77777777" w:rsidR="00022EE1" w:rsidRDefault="0002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4D28" w14:textId="77777777" w:rsidR="00A933DB" w:rsidRDefault="00A933DB">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A933DB" w14:paraId="60ABB3E0" w14:textId="77777777">
      <w:tc>
        <w:tcPr>
          <w:tcW w:w="562" w:type="dxa"/>
          <w:tcBorders>
            <w:bottom w:val="nil"/>
            <w:right w:val="nil"/>
          </w:tcBorders>
        </w:tcPr>
        <w:p w14:paraId="48A1F26A"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07DDA228"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5CA27D3F"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r>
    <w:tr w:rsidR="00A933DB" w14:paraId="73538E49" w14:textId="77777777">
      <w:tc>
        <w:tcPr>
          <w:tcW w:w="562" w:type="dxa"/>
          <w:tcBorders>
            <w:bottom w:val="nil"/>
            <w:right w:val="nil"/>
          </w:tcBorders>
        </w:tcPr>
        <w:p w14:paraId="362077FC"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16A7CFB2"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3ED7AEA4"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r>
    <w:tr w:rsidR="00A933DB" w14:paraId="4C0F87FF" w14:textId="77777777">
      <w:tc>
        <w:tcPr>
          <w:tcW w:w="562" w:type="dxa"/>
          <w:tcBorders>
            <w:top w:val="nil"/>
          </w:tcBorders>
        </w:tcPr>
        <w:p w14:paraId="67867603" w14:textId="77777777" w:rsidR="00A933DB" w:rsidRDefault="00A933DB">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w:t>
          </w:r>
          <w:r>
            <w:rPr>
              <w:rFonts w:ascii="Cambria" w:eastAsia="Cambria" w:hAnsi="Cambria" w:cs="Cambria"/>
              <w:color w:val="000000"/>
            </w:rPr>
            <w:fldChar w:fldCharType="end"/>
          </w:r>
        </w:p>
      </w:tc>
      <w:tc>
        <w:tcPr>
          <w:tcW w:w="4136" w:type="dxa"/>
          <w:tcBorders>
            <w:top w:val="nil"/>
            <w:bottom w:val="single" w:sz="8" w:space="0" w:color="000000"/>
            <w:right w:val="nil"/>
          </w:tcBorders>
        </w:tcPr>
        <w:p w14:paraId="2C6A35B8" w14:textId="77777777" w:rsidR="00A933DB" w:rsidRDefault="00A933DB">
          <w:pPr>
            <w:pBdr>
              <w:top w:val="nil"/>
              <w:left w:val="nil"/>
              <w:bottom w:val="nil"/>
              <w:right w:val="nil"/>
              <w:between w:val="nil"/>
            </w:pBdr>
            <w:tabs>
              <w:tab w:val="center" w:pos="4680"/>
              <w:tab w:val="right" w:pos="9360"/>
            </w:tabs>
            <w:ind w:right="-116"/>
            <w:rPr>
              <w:rFonts w:ascii="Cambria" w:eastAsia="Cambria" w:hAnsi="Cambria" w:cs="Cambria"/>
              <w:b/>
              <w:i/>
              <w:color w:val="000000"/>
            </w:rPr>
          </w:pPr>
          <w:proofErr w:type="spellStart"/>
          <w:r>
            <w:rPr>
              <w:rFonts w:ascii="Cambria" w:eastAsia="Cambria" w:hAnsi="Cambria" w:cs="Cambria"/>
              <w:i/>
              <w:color w:val="000000"/>
            </w:rPr>
            <w:t>Judul</w:t>
          </w:r>
          <w:proofErr w:type="spellEnd"/>
          <w:r>
            <w:rPr>
              <w:rFonts w:ascii="Cambria" w:eastAsia="Cambria" w:hAnsi="Cambria" w:cs="Cambria"/>
              <w:i/>
              <w:color w:val="000000"/>
            </w:rPr>
            <w:t xml:space="preserve"> </w:t>
          </w:r>
          <w:proofErr w:type="spellStart"/>
          <w:r>
            <w:rPr>
              <w:rFonts w:ascii="Cambria" w:eastAsia="Cambria" w:hAnsi="Cambria" w:cs="Cambria"/>
              <w:i/>
              <w:color w:val="000000"/>
            </w:rPr>
            <w:t>pelari</w:t>
          </w:r>
          <w:proofErr w:type="spellEnd"/>
          <w:r>
            <w:rPr>
              <w:rFonts w:ascii="Cambria" w:eastAsia="Cambria" w:hAnsi="Cambria" w:cs="Cambria"/>
              <w:i/>
              <w:color w:val="000000"/>
            </w:rPr>
            <w:t xml:space="preserve"> </w:t>
          </w:r>
          <w:proofErr w:type="spellStart"/>
          <w:r>
            <w:rPr>
              <w:rFonts w:ascii="Cambria" w:eastAsia="Cambria" w:hAnsi="Cambria" w:cs="Cambria"/>
              <w:i/>
              <w:color w:val="000000"/>
            </w:rPr>
            <w:t>artikel</w:t>
          </w:r>
          <w:proofErr w:type="spellEnd"/>
          <w:r>
            <w:rPr>
              <w:rFonts w:ascii="Cambria" w:eastAsia="Cambria" w:hAnsi="Cambria" w:cs="Cambria"/>
              <w:i/>
              <w:color w:val="000000"/>
            </w:rPr>
            <w:t>/running head article</w:t>
          </w:r>
        </w:p>
      </w:tc>
      <w:tc>
        <w:tcPr>
          <w:tcW w:w="4947" w:type="dxa"/>
          <w:tcBorders>
            <w:top w:val="nil"/>
            <w:left w:val="nil"/>
            <w:bottom w:val="single" w:sz="8" w:space="0" w:color="000000"/>
          </w:tcBorders>
        </w:tcPr>
        <w:p w14:paraId="019BAB84" w14:textId="77777777" w:rsidR="00A933DB" w:rsidRDefault="00A933DB">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proofErr w:type="spellStart"/>
          <w:r>
            <w:rPr>
              <w:rFonts w:ascii="Cambria" w:eastAsia="Cambria" w:hAnsi="Cambria" w:cs="Cambria"/>
              <w:color w:val="000000"/>
            </w:rPr>
            <w:t>Penulis</w:t>
          </w:r>
          <w:proofErr w:type="spellEnd"/>
          <w:r>
            <w:rPr>
              <w:rFonts w:ascii="Cambria" w:eastAsia="Cambria" w:hAnsi="Cambria" w:cs="Cambria"/>
              <w:color w:val="000000"/>
            </w:rPr>
            <w:t xml:space="preserve"> 1 et al.</w:t>
          </w:r>
        </w:p>
      </w:tc>
    </w:tr>
  </w:tbl>
  <w:p w14:paraId="0AE11F74" w14:textId="77777777" w:rsidR="00A933DB" w:rsidRDefault="00A93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EA15" w14:textId="77777777" w:rsidR="00A933DB" w:rsidRDefault="00A933DB">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1"/>
      <w:gridCol w:w="8370"/>
      <w:gridCol w:w="686"/>
    </w:tblGrid>
    <w:tr w:rsidR="00A933DB" w14:paraId="6439EC3B" w14:textId="77777777">
      <w:tc>
        <w:tcPr>
          <w:tcW w:w="561" w:type="dxa"/>
          <w:tcBorders>
            <w:bottom w:val="nil"/>
            <w:right w:val="nil"/>
          </w:tcBorders>
        </w:tcPr>
        <w:p w14:paraId="5E79F913"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
        <w:p w14:paraId="085538C1"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
        <w:p w14:paraId="486EF857"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r>
    <w:tr w:rsidR="00A933DB" w14:paraId="11329BAB" w14:textId="77777777">
      <w:tc>
        <w:tcPr>
          <w:tcW w:w="8931" w:type="dxa"/>
          <w:gridSpan w:val="2"/>
          <w:tcBorders>
            <w:top w:val="nil"/>
            <w:right w:val="nil"/>
          </w:tcBorders>
        </w:tcPr>
        <w:p w14:paraId="1D289057" w14:textId="77777777" w:rsidR="00A933DB" w:rsidRDefault="00A933DB">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
        <w:p w14:paraId="38362B94" w14:textId="77777777" w:rsidR="00A933DB" w:rsidRDefault="00A933DB">
          <w:pPr>
            <w:pBdr>
              <w:top w:val="nil"/>
              <w:left w:val="nil"/>
              <w:bottom w:val="nil"/>
              <w:right w:val="nil"/>
              <w:between w:val="nil"/>
            </w:pBdr>
            <w:tabs>
              <w:tab w:val="center" w:pos="4680"/>
              <w:tab w:val="right" w:pos="9360"/>
            </w:tabs>
            <w:rPr>
              <w:rFonts w:ascii="Cambria" w:eastAsia="Cambria" w:hAnsi="Cambria" w:cs="Cambria"/>
              <w:color w:val="000000"/>
            </w:rPr>
          </w:pPr>
        </w:p>
      </w:tc>
    </w:tr>
    <w:tr w:rsidR="00A933DB" w14:paraId="728ED705" w14:textId="77777777">
      <w:tc>
        <w:tcPr>
          <w:tcW w:w="8931" w:type="dxa"/>
          <w:gridSpan w:val="2"/>
          <w:tcBorders>
            <w:right w:val="single" w:sz="8" w:space="0" w:color="000000"/>
          </w:tcBorders>
        </w:tcPr>
        <w:p w14:paraId="5D8AACDC" w14:textId="77777777" w:rsidR="00A933DB" w:rsidRDefault="00A933DB">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Pr>
              <w:rFonts w:ascii="Cambria" w:eastAsia="Cambria" w:hAnsi="Cambria" w:cs="Cambria"/>
              <w:color w:val="000000"/>
            </w:rPr>
            <w:t xml:space="preserve">  Vol: x, </w:t>
          </w:r>
          <w:proofErr w:type="spellStart"/>
          <w:r>
            <w:rPr>
              <w:rFonts w:ascii="Cambria" w:eastAsia="Cambria" w:hAnsi="Cambria" w:cs="Cambria"/>
              <w:color w:val="000000"/>
            </w:rPr>
            <w:t>Nomor</w:t>
          </w:r>
          <w:proofErr w:type="spellEnd"/>
          <w:r>
            <w:rPr>
              <w:rFonts w:ascii="Cambria" w:eastAsia="Cambria" w:hAnsi="Cambria" w:cs="Cambria"/>
              <w:color w:val="000000"/>
            </w:rPr>
            <w:t>: x, 2019</w:t>
          </w:r>
        </w:p>
      </w:tc>
      <w:tc>
        <w:tcPr>
          <w:tcW w:w="686" w:type="dxa"/>
          <w:tcBorders>
            <w:left w:val="single" w:sz="8" w:space="0" w:color="000000"/>
            <w:bottom w:val="single" w:sz="8" w:space="0" w:color="000000"/>
          </w:tcBorders>
        </w:tcPr>
        <w:p w14:paraId="2C16678A" w14:textId="77777777" w:rsidR="00A933DB" w:rsidRDefault="00A933DB">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3</w:t>
          </w:r>
          <w:r>
            <w:rPr>
              <w:rFonts w:ascii="Cambria" w:eastAsia="Cambria" w:hAnsi="Cambria" w:cs="Cambria"/>
              <w:color w:val="000000"/>
            </w:rPr>
            <w:fldChar w:fldCharType="end"/>
          </w:r>
        </w:p>
      </w:tc>
    </w:tr>
  </w:tbl>
  <w:p w14:paraId="6CDBDC5D" w14:textId="77777777" w:rsidR="00A933DB" w:rsidRDefault="00A933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102"/>
    <w:multiLevelType w:val="multilevel"/>
    <w:tmpl w:val="F82A0B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2AF010F"/>
    <w:multiLevelType w:val="multilevel"/>
    <w:tmpl w:val="B4EAF51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rmasari Widyastuti">
    <w15:presenceInfo w15:providerId="AD" w15:userId="S::nurmasariw@lecturer.undip.ac.id::f950f60e-96f3-42ca-97b0-58c375f4b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84"/>
    <w:rsid w:val="00022EE1"/>
    <w:rsid w:val="0007673F"/>
    <w:rsid w:val="000A0D96"/>
    <w:rsid w:val="00244D84"/>
    <w:rsid w:val="00252673"/>
    <w:rsid w:val="0031325C"/>
    <w:rsid w:val="00375ADC"/>
    <w:rsid w:val="003814EC"/>
    <w:rsid w:val="003A3103"/>
    <w:rsid w:val="003E53D4"/>
    <w:rsid w:val="005D7310"/>
    <w:rsid w:val="00625221"/>
    <w:rsid w:val="00801829"/>
    <w:rsid w:val="00985ED6"/>
    <w:rsid w:val="00A319DD"/>
    <w:rsid w:val="00A62559"/>
    <w:rsid w:val="00A933DB"/>
    <w:rsid w:val="00AE2391"/>
    <w:rsid w:val="00AF3A43"/>
    <w:rsid w:val="00E32C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B324"/>
  <w15:docId w15:val="{7FF06027-4728-4C89-A567-017574B3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styleId="UnresolvedMention">
    <w:name w:val="Unresolved Mention"/>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Default">
    <w:name w:val="Default"/>
    <w:rsid w:val="00AE2391"/>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styleId="Caption">
    <w:name w:val="caption"/>
    <w:basedOn w:val="Normal"/>
    <w:next w:val="Normal"/>
    <w:uiPriority w:val="35"/>
    <w:unhideWhenUsed/>
    <w:qFormat/>
    <w:rsid w:val="00AE2391"/>
    <w:pPr>
      <w:spacing w:after="200" w:line="240" w:lineRule="auto"/>
    </w:pPr>
    <w:rPr>
      <w:rFonts w:asciiTheme="minorHAnsi" w:eastAsia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3E53D4"/>
    <w:rPr>
      <w:sz w:val="16"/>
      <w:szCs w:val="16"/>
    </w:rPr>
  </w:style>
  <w:style w:type="paragraph" w:styleId="CommentText">
    <w:name w:val="annotation text"/>
    <w:basedOn w:val="Normal"/>
    <w:link w:val="CommentTextChar"/>
    <w:uiPriority w:val="99"/>
    <w:semiHidden/>
    <w:unhideWhenUsed/>
    <w:rsid w:val="003E53D4"/>
    <w:pPr>
      <w:spacing w:line="240" w:lineRule="auto"/>
    </w:pPr>
    <w:rPr>
      <w:sz w:val="20"/>
      <w:szCs w:val="20"/>
    </w:rPr>
  </w:style>
  <w:style w:type="character" w:customStyle="1" w:styleId="CommentTextChar">
    <w:name w:val="Comment Text Char"/>
    <w:basedOn w:val="DefaultParagraphFont"/>
    <w:link w:val="CommentText"/>
    <w:uiPriority w:val="99"/>
    <w:semiHidden/>
    <w:rsid w:val="003E53D4"/>
    <w:rPr>
      <w:sz w:val="20"/>
      <w:szCs w:val="20"/>
    </w:rPr>
  </w:style>
  <w:style w:type="paragraph" w:styleId="CommentSubject">
    <w:name w:val="annotation subject"/>
    <w:basedOn w:val="CommentText"/>
    <w:next w:val="CommentText"/>
    <w:link w:val="CommentSubjectChar"/>
    <w:uiPriority w:val="99"/>
    <w:semiHidden/>
    <w:unhideWhenUsed/>
    <w:rsid w:val="003E53D4"/>
    <w:rPr>
      <w:b/>
      <w:bCs/>
    </w:rPr>
  </w:style>
  <w:style w:type="character" w:customStyle="1" w:styleId="CommentSubjectChar">
    <w:name w:val="Comment Subject Char"/>
    <w:basedOn w:val="CommentTextChar"/>
    <w:link w:val="CommentSubject"/>
    <w:uiPriority w:val="99"/>
    <w:semiHidden/>
    <w:rsid w:val="003E5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wisetyowati35@gmail.com" TargetMode="External"/><Relationship Id="rId13" Type="http://schemas.openxmlformats.org/officeDocument/2006/relationships/hyperlink" Target="mailto:ardiaria@yahoo.com"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mailto:animargawati@gmail.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dyastutinurmasari@gmail.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widyastutinurmasari@gmail.com" TargetMode="External"/><Relationship Id="rId23" Type="http://schemas.microsoft.com/office/2016/09/relationships/commentsIds" Target="commentsIds.xml"/><Relationship Id="rId10" Type="http://schemas.openxmlformats.org/officeDocument/2006/relationships/hyperlink" Target="mailto:anisseptyani@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iqnaililmuna@gmail.com" TargetMode="External"/><Relationship Id="rId14" Type="http://schemas.openxmlformats.org/officeDocument/2006/relationships/hyperlink" Target="mailto:Fahmi_tsani@yahoo.com" TargetMode="External"/><Relationship Id="rId22" Type="http://schemas.microsoft.com/office/2011/relationships/commentsExtended" Target="commentsExtended.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aceh.ac.id/index.ph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oIokURMrxBNgtTZw6gcKDcpeXQ==">AMUW2mVWUjIDXugOlDgZgIjq6aaV4/JpUK/Fn2I7ThQCK1ibOojvycywRJO4P4Y32VKG50w/SBzQ7uUTKT1RrgeW3dZ7P7Q3QT2OcJ6bjsN3J+KVz9+feDM=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17193</Words>
  <Characters>98002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Hendra</dc:creator>
  <cp:lastModifiedBy>Nurmasari Widyastuti</cp:lastModifiedBy>
  <cp:revision>8</cp:revision>
  <dcterms:created xsi:type="dcterms:W3CDTF">2020-04-14T10:58:00Z</dcterms:created>
  <dcterms:modified xsi:type="dcterms:W3CDTF">2022-01-29T01:27:00Z</dcterms:modified>
</cp:coreProperties>
</file>