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1FC3" w14:textId="03656423" w:rsidR="00646401" w:rsidRPr="00FE7A42" w:rsidRDefault="00BD1790" w:rsidP="00FE7A42">
      <w:pPr>
        <w:pStyle w:val="Heading1"/>
        <w:spacing w:before="0" w:line="240" w:lineRule="auto"/>
        <w:rPr>
          <w:rFonts w:ascii="Cambria" w:eastAsia="Times New Roman" w:hAnsi="Cambria" w:cs="Times New Roman"/>
          <w:b/>
          <w:iCs/>
          <w:color w:val="000000"/>
          <w:sz w:val="30"/>
          <w:szCs w:val="30"/>
        </w:rPr>
      </w:pPr>
      <w:bookmarkStart w:id="0" w:name="_heading=h.7898bu60sbie" w:colFirst="0" w:colLast="0"/>
      <w:bookmarkStart w:id="1" w:name="_Hlk97068723"/>
      <w:bookmarkEnd w:id="0"/>
      <w:proofErr w:type="spellStart"/>
      <w:r>
        <w:rPr>
          <w:rFonts w:ascii="Cambria" w:eastAsia="Times New Roman" w:hAnsi="Cambria" w:cs="Times New Roman"/>
          <w:b/>
          <w:color w:val="000000"/>
          <w:sz w:val="30"/>
          <w:szCs w:val="30"/>
        </w:rPr>
        <w:t>F</w:t>
      </w:r>
      <w:r w:rsidRPr="00BD1790">
        <w:rPr>
          <w:rFonts w:ascii="Cambria" w:eastAsia="Times New Roman" w:hAnsi="Cambria" w:cs="Times New Roman"/>
          <w:b/>
          <w:color w:val="000000"/>
          <w:sz w:val="30"/>
          <w:szCs w:val="30"/>
        </w:rPr>
        <w:t>ormulasi</w:t>
      </w:r>
      <w:proofErr w:type="spellEnd"/>
      <w:r w:rsidRPr="00BD1790">
        <w:rPr>
          <w:rFonts w:ascii="Cambria" w:eastAsia="Times New Roman" w:hAnsi="Cambria" w:cs="Times New Roman"/>
          <w:b/>
          <w:color w:val="000000"/>
          <w:sz w:val="30"/>
          <w:szCs w:val="30"/>
        </w:rPr>
        <w:t xml:space="preserve"> </w:t>
      </w:r>
      <w:proofErr w:type="spellStart"/>
      <w:r w:rsidRPr="00BD1790">
        <w:rPr>
          <w:rFonts w:ascii="Cambria" w:eastAsia="Times New Roman" w:hAnsi="Cambria" w:cs="Times New Roman"/>
          <w:b/>
          <w:iCs/>
          <w:color w:val="000000"/>
          <w:sz w:val="30"/>
          <w:szCs w:val="30"/>
        </w:rPr>
        <w:t>biskuit</w:t>
      </w:r>
      <w:proofErr w:type="spellEnd"/>
      <w:r w:rsidRPr="00BD1790">
        <w:rPr>
          <w:rFonts w:ascii="Cambria" w:eastAsia="Times New Roman" w:hAnsi="Cambria" w:cs="Times New Roman"/>
          <w:b/>
          <w:iCs/>
          <w:color w:val="000000"/>
          <w:sz w:val="30"/>
          <w:szCs w:val="30"/>
        </w:rPr>
        <w:t xml:space="preserve"> </w:t>
      </w:r>
      <w:proofErr w:type="spellStart"/>
      <w:r w:rsidRPr="00BD1790">
        <w:rPr>
          <w:rFonts w:ascii="Cambria" w:eastAsia="Times New Roman" w:hAnsi="Cambria" w:cs="Times New Roman"/>
          <w:b/>
          <w:iCs/>
          <w:color w:val="000000"/>
          <w:sz w:val="30"/>
          <w:szCs w:val="30"/>
        </w:rPr>
        <w:t>rempah</w:t>
      </w:r>
      <w:proofErr w:type="spellEnd"/>
      <w:r w:rsidRPr="00BD1790">
        <w:rPr>
          <w:rFonts w:ascii="Cambria" w:eastAsia="Times New Roman" w:hAnsi="Cambria" w:cs="Times New Roman"/>
          <w:b/>
          <w:iCs/>
          <w:color w:val="000000"/>
          <w:sz w:val="30"/>
          <w:szCs w:val="30"/>
        </w:rPr>
        <w:t xml:space="preserve"> </w:t>
      </w:r>
      <w:proofErr w:type="spellStart"/>
      <w:r w:rsidRPr="00BD1790">
        <w:rPr>
          <w:rFonts w:ascii="Cambria" w:eastAsia="Times New Roman" w:hAnsi="Cambria" w:cs="Times New Roman"/>
          <w:b/>
          <w:iCs/>
          <w:color w:val="000000"/>
          <w:sz w:val="30"/>
          <w:szCs w:val="30"/>
        </w:rPr>
        <w:t>tinggi</w:t>
      </w:r>
      <w:proofErr w:type="spellEnd"/>
      <w:r w:rsidRPr="00BD1790">
        <w:rPr>
          <w:rFonts w:ascii="Cambria" w:eastAsia="Times New Roman" w:hAnsi="Cambria" w:cs="Times New Roman"/>
          <w:b/>
          <w:iCs/>
          <w:color w:val="000000"/>
          <w:sz w:val="30"/>
          <w:szCs w:val="30"/>
        </w:rPr>
        <w:t xml:space="preserve"> </w:t>
      </w:r>
      <w:proofErr w:type="spellStart"/>
      <w:r w:rsidRPr="00BD1790">
        <w:rPr>
          <w:rFonts w:ascii="Cambria" w:eastAsia="Times New Roman" w:hAnsi="Cambria" w:cs="Times New Roman"/>
          <w:b/>
          <w:iCs/>
          <w:color w:val="000000"/>
          <w:sz w:val="30"/>
          <w:szCs w:val="30"/>
        </w:rPr>
        <w:t>antioksidan</w:t>
      </w:r>
      <w:proofErr w:type="spellEnd"/>
      <w:r w:rsidRPr="00BD1790">
        <w:rPr>
          <w:rFonts w:ascii="Cambria" w:eastAsia="Times New Roman" w:hAnsi="Cambria" w:cs="Times New Roman"/>
          <w:b/>
          <w:iCs/>
          <w:color w:val="000000"/>
          <w:sz w:val="30"/>
          <w:szCs w:val="30"/>
        </w:rPr>
        <w:t xml:space="preserve"> </w:t>
      </w:r>
      <w:proofErr w:type="spellStart"/>
      <w:r w:rsidRPr="00BD1790">
        <w:rPr>
          <w:rFonts w:ascii="Cambria" w:eastAsia="Times New Roman" w:hAnsi="Cambria" w:cs="Times New Roman"/>
          <w:b/>
          <w:iCs/>
          <w:color w:val="000000"/>
          <w:sz w:val="30"/>
          <w:szCs w:val="30"/>
        </w:rPr>
        <w:t>sebagai</w:t>
      </w:r>
      <w:proofErr w:type="spellEnd"/>
      <w:r w:rsidRPr="00BD1790">
        <w:rPr>
          <w:rFonts w:ascii="Cambria" w:eastAsia="Times New Roman" w:hAnsi="Cambria" w:cs="Times New Roman"/>
          <w:b/>
          <w:iCs/>
          <w:color w:val="000000"/>
          <w:sz w:val="30"/>
          <w:szCs w:val="30"/>
        </w:rPr>
        <w:t xml:space="preserve"> </w:t>
      </w:r>
      <w:proofErr w:type="spellStart"/>
      <w:r w:rsidRPr="00BD1790">
        <w:rPr>
          <w:rFonts w:ascii="Cambria" w:eastAsia="Times New Roman" w:hAnsi="Cambria" w:cs="Times New Roman"/>
          <w:b/>
          <w:iCs/>
          <w:color w:val="000000"/>
          <w:sz w:val="30"/>
          <w:szCs w:val="30"/>
        </w:rPr>
        <w:t>alternatif</w:t>
      </w:r>
      <w:proofErr w:type="spellEnd"/>
      <w:r w:rsidRPr="00BD1790">
        <w:rPr>
          <w:rFonts w:ascii="Cambria" w:eastAsia="Times New Roman" w:hAnsi="Cambria" w:cs="Times New Roman"/>
          <w:b/>
          <w:iCs/>
          <w:color w:val="000000"/>
          <w:sz w:val="30"/>
          <w:szCs w:val="30"/>
        </w:rPr>
        <w:t xml:space="preserve"> </w:t>
      </w:r>
      <w:proofErr w:type="spellStart"/>
      <w:r w:rsidRPr="00BD1790">
        <w:rPr>
          <w:rFonts w:ascii="Cambria" w:eastAsia="Times New Roman" w:hAnsi="Cambria" w:cs="Times New Roman"/>
          <w:b/>
          <w:iCs/>
          <w:color w:val="000000"/>
          <w:sz w:val="30"/>
          <w:szCs w:val="30"/>
        </w:rPr>
        <w:t>pangan</w:t>
      </w:r>
      <w:proofErr w:type="spellEnd"/>
      <w:r w:rsidRPr="00BD1790">
        <w:rPr>
          <w:rFonts w:ascii="Cambria" w:eastAsia="Times New Roman" w:hAnsi="Cambria" w:cs="Times New Roman"/>
          <w:b/>
          <w:iCs/>
          <w:color w:val="000000"/>
          <w:sz w:val="30"/>
          <w:szCs w:val="30"/>
        </w:rPr>
        <w:t xml:space="preserve"> </w:t>
      </w:r>
      <w:proofErr w:type="spellStart"/>
      <w:r w:rsidRPr="00BD1790">
        <w:rPr>
          <w:rFonts w:ascii="Cambria" w:eastAsia="Times New Roman" w:hAnsi="Cambria" w:cs="Times New Roman"/>
          <w:b/>
          <w:iCs/>
          <w:color w:val="000000"/>
          <w:sz w:val="30"/>
          <w:szCs w:val="30"/>
        </w:rPr>
        <w:t>fungsional</w:t>
      </w:r>
      <w:proofErr w:type="spellEnd"/>
      <w:r w:rsidRPr="00BD1790">
        <w:rPr>
          <w:rFonts w:ascii="Cambria" w:eastAsia="Times New Roman" w:hAnsi="Cambria" w:cs="Times New Roman"/>
          <w:b/>
          <w:iCs/>
          <w:color w:val="000000"/>
          <w:sz w:val="30"/>
          <w:szCs w:val="30"/>
        </w:rPr>
        <w:t xml:space="preserve"> </w:t>
      </w:r>
      <w:proofErr w:type="spellStart"/>
      <w:r w:rsidRPr="00BD1790">
        <w:rPr>
          <w:rFonts w:ascii="Cambria" w:eastAsia="Times New Roman" w:hAnsi="Cambria" w:cs="Times New Roman"/>
          <w:b/>
          <w:iCs/>
          <w:color w:val="000000"/>
          <w:sz w:val="30"/>
          <w:szCs w:val="30"/>
        </w:rPr>
        <w:t>pencegah</w:t>
      </w:r>
      <w:proofErr w:type="spellEnd"/>
      <w:r w:rsidRPr="00BD1790">
        <w:rPr>
          <w:rFonts w:ascii="Cambria" w:eastAsia="Times New Roman" w:hAnsi="Cambria" w:cs="Times New Roman"/>
          <w:b/>
          <w:iCs/>
          <w:color w:val="000000"/>
          <w:sz w:val="30"/>
          <w:szCs w:val="30"/>
        </w:rPr>
        <w:t xml:space="preserve"> </w:t>
      </w:r>
      <w:proofErr w:type="spellStart"/>
      <w:r w:rsidRPr="00BD1790">
        <w:rPr>
          <w:rFonts w:ascii="Cambria" w:eastAsia="Times New Roman" w:hAnsi="Cambria" w:cs="Times New Roman"/>
          <w:b/>
          <w:iCs/>
          <w:color w:val="000000"/>
          <w:sz w:val="30"/>
          <w:szCs w:val="30"/>
        </w:rPr>
        <w:t>infeksi</w:t>
      </w:r>
      <w:proofErr w:type="spellEnd"/>
      <w:r w:rsidRPr="00BD1790">
        <w:rPr>
          <w:rFonts w:ascii="Cambria" w:eastAsia="Times New Roman" w:hAnsi="Cambria" w:cs="Times New Roman"/>
          <w:b/>
          <w:iCs/>
          <w:color w:val="000000"/>
          <w:sz w:val="30"/>
          <w:szCs w:val="30"/>
        </w:rPr>
        <w:t xml:space="preserve"> covid-19</w:t>
      </w:r>
      <w:commentRangeStart w:id="2"/>
    </w:p>
    <w:p w14:paraId="59E04ECC" w14:textId="559216F6" w:rsidR="00C72575" w:rsidRDefault="009F6C11" w:rsidP="00FE7A42">
      <w:pPr>
        <w:spacing w:after="0" w:line="240" w:lineRule="auto"/>
        <w:rPr>
          <w:rFonts w:ascii="Cambria" w:eastAsia="Cambria" w:hAnsi="Cambria" w:cs="Cambria"/>
          <w:sz w:val="30"/>
          <w:szCs w:val="30"/>
        </w:rPr>
      </w:pPr>
      <w:r>
        <w:rPr>
          <w:rFonts w:ascii="Cambria" w:eastAsia="Cambria" w:hAnsi="Cambria" w:cs="Cambria"/>
          <w:i/>
          <w:sz w:val="30"/>
          <w:szCs w:val="30"/>
        </w:rPr>
        <w:t xml:space="preserve">Formulation of </w:t>
      </w:r>
      <w:r w:rsidR="005F16BD">
        <w:rPr>
          <w:rFonts w:ascii="Cambria" w:eastAsia="Cambria" w:hAnsi="Cambria" w:cs="Cambria"/>
          <w:i/>
          <w:sz w:val="30"/>
          <w:szCs w:val="30"/>
        </w:rPr>
        <w:t xml:space="preserve">High Antioxidant </w:t>
      </w:r>
      <w:r w:rsidR="00D824F8">
        <w:rPr>
          <w:rFonts w:ascii="Cambria" w:eastAsia="Cambria" w:hAnsi="Cambria" w:cs="Cambria"/>
          <w:i/>
          <w:sz w:val="30"/>
          <w:szCs w:val="30"/>
        </w:rPr>
        <w:t>Spices</w:t>
      </w:r>
      <w:r>
        <w:rPr>
          <w:rFonts w:ascii="Cambria" w:eastAsia="Cambria" w:hAnsi="Cambria" w:cs="Cambria"/>
          <w:i/>
          <w:sz w:val="30"/>
          <w:szCs w:val="30"/>
        </w:rPr>
        <w:t xml:space="preserve"> </w:t>
      </w:r>
      <w:r w:rsidR="0063512D">
        <w:rPr>
          <w:rFonts w:ascii="Cambria" w:eastAsia="Cambria" w:hAnsi="Cambria" w:cs="Cambria"/>
          <w:i/>
          <w:sz w:val="30"/>
          <w:szCs w:val="30"/>
        </w:rPr>
        <w:t>Bis</w:t>
      </w:r>
      <w:r w:rsidR="00134371">
        <w:rPr>
          <w:rFonts w:ascii="Cambria" w:eastAsia="Cambria" w:hAnsi="Cambria" w:cs="Cambria"/>
          <w:i/>
          <w:sz w:val="30"/>
          <w:szCs w:val="30"/>
        </w:rPr>
        <w:t>c</w:t>
      </w:r>
      <w:r w:rsidR="0063512D">
        <w:rPr>
          <w:rFonts w:ascii="Cambria" w:eastAsia="Cambria" w:hAnsi="Cambria" w:cs="Cambria"/>
          <w:i/>
          <w:sz w:val="30"/>
          <w:szCs w:val="30"/>
        </w:rPr>
        <w:t>uit</w:t>
      </w:r>
      <w:r w:rsidR="00D824F8">
        <w:rPr>
          <w:rFonts w:ascii="Cambria" w:eastAsia="Cambria" w:hAnsi="Cambria" w:cs="Cambria"/>
          <w:i/>
          <w:sz w:val="30"/>
          <w:szCs w:val="30"/>
        </w:rPr>
        <w:t xml:space="preserve"> </w:t>
      </w:r>
      <w:r>
        <w:rPr>
          <w:rFonts w:ascii="Cambria" w:eastAsia="Cambria" w:hAnsi="Cambria" w:cs="Cambria"/>
          <w:i/>
          <w:sz w:val="30"/>
          <w:szCs w:val="30"/>
        </w:rPr>
        <w:t xml:space="preserve">as </w:t>
      </w:r>
      <w:r w:rsidR="00813104">
        <w:rPr>
          <w:rFonts w:ascii="Cambria" w:eastAsia="Cambria" w:hAnsi="Cambria" w:cs="Cambria"/>
          <w:i/>
          <w:sz w:val="30"/>
          <w:szCs w:val="30"/>
        </w:rPr>
        <w:t>A</w:t>
      </w:r>
      <w:r>
        <w:rPr>
          <w:rFonts w:ascii="Cambria" w:eastAsia="Cambria" w:hAnsi="Cambria" w:cs="Cambria"/>
          <w:i/>
          <w:sz w:val="30"/>
          <w:szCs w:val="30"/>
        </w:rPr>
        <w:t xml:space="preserve">lternative </w:t>
      </w:r>
      <w:r w:rsidR="00813104">
        <w:rPr>
          <w:rFonts w:ascii="Cambria" w:eastAsia="Cambria" w:hAnsi="Cambria" w:cs="Cambria"/>
          <w:i/>
          <w:sz w:val="30"/>
          <w:szCs w:val="30"/>
        </w:rPr>
        <w:t>F</w:t>
      </w:r>
      <w:r>
        <w:rPr>
          <w:rFonts w:ascii="Cambria" w:eastAsia="Cambria" w:hAnsi="Cambria" w:cs="Cambria"/>
          <w:i/>
          <w:sz w:val="30"/>
          <w:szCs w:val="30"/>
        </w:rPr>
        <w:t xml:space="preserve">unctional </w:t>
      </w:r>
      <w:r w:rsidR="00134371">
        <w:rPr>
          <w:rFonts w:ascii="Cambria" w:eastAsia="Cambria" w:hAnsi="Cambria" w:cs="Cambria"/>
          <w:i/>
          <w:sz w:val="30"/>
          <w:szCs w:val="30"/>
        </w:rPr>
        <w:t>F</w:t>
      </w:r>
      <w:r>
        <w:rPr>
          <w:rFonts w:ascii="Cambria" w:eastAsia="Cambria" w:hAnsi="Cambria" w:cs="Cambria"/>
          <w:i/>
          <w:sz w:val="30"/>
          <w:szCs w:val="30"/>
        </w:rPr>
        <w:t xml:space="preserve">ood </w:t>
      </w:r>
      <w:r w:rsidR="00813104">
        <w:rPr>
          <w:rFonts w:ascii="Cambria" w:eastAsia="Cambria" w:hAnsi="Cambria" w:cs="Cambria"/>
          <w:i/>
          <w:sz w:val="30"/>
          <w:szCs w:val="30"/>
        </w:rPr>
        <w:t>to</w:t>
      </w:r>
      <w:r>
        <w:rPr>
          <w:rFonts w:ascii="Cambria" w:eastAsia="Cambria" w:hAnsi="Cambria" w:cs="Cambria"/>
          <w:i/>
          <w:sz w:val="30"/>
          <w:szCs w:val="30"/>
        </w:rPr>
        <w:t xml:space="preserve"> </w:t>
      </w:r>
      <w:r w:rsidR="00813104">
        <w:rPr>
          <w:rFonts w:ascii="Cambria" w:eastAsia="Cambria" w:hAnsi="Cambria" w:cs="Cambria"/>
          <w:i/>
          <w:sz w:val="30"/>
          <w:szCs w:val="30"/>
        </w:rPr>
        <w:t>P</w:t>
      </w:r>
      <w:r>
        <w:rPr>
          <w:rFonts w:ascii="Cambria" w:eastAsia="Cambria" w:hAnsi="Cambria" w:cs="Cambria"/>
          <w:i/>
          <w:sz w:val="30"/>
          <w:szCs w:val="30"/>
        </w:rPr>
        <w:t xml:space="preserve">revent Covid-19 </w:t>
      </w:r>
      <w:r w:rsidR="00813104">
        <w:rPr>
          <w:rFonts w:ascii="Cambria" w:eastAsia="Cambria" w:hAnsi="Cambria" w:cs="Cambria"/>
          <w:i/>
          <w:sz w:val="30"/>
          <w:szCs w:val="30"/>
        </w:rPr>
        <w:t>I</w:t>
      </w:r>
      <w:r>
        <w:rPr>
          <w:rFonts w:ascii="Cambria" w:eastAsia="Cambria" w:hAnsi="Cambria" w:cs="Cambria"/>
          <w:i/>
          <w:sz w:val="30"/>
          <w:szCs w:val="30"/>
        </w:rPr>
        <w:t>nfection</w:t>
      </w:r>
      <w:commentRangeEnd w:id="2"/>
      <w:r w:rsidR="005259FA">
        <w:rPr>
          <w:rStyle w:val="CommentReference"/>
        </w:rPr>
        <w:commentReference w:id="2"/>
      </w:r>
    </w:p>
    <w:p w14:paraId="59E04ECD" w14:textId="77777777" w:rsidR="00C72575" w:rsidRDefault="00C72575">
      <w:pPr>
        <w:spacing w:after="0"/>
        <w:rPr>
          <w:rFonts w:ascii="Cambria" w:eastAsia="Cambria" w:hAnsi="Cambria" w:cs="Cambria"/>
          <w:sz w:val="30"/>
          <w:szCs w:val="30"/>
        </w:rPr>
      </w:pPr>
    </w:p>
    <w:p w14:paraId="59E04ECE" w14:textId="1F71E81B" w:rsidR="00C72575" w:rsidRDefault="009F6C11">
      <w:pPr>
        <w:pBdr>
          <w:top w:val="nil"/>
          <w:left w:val="nil"/>
          <w:bottom w:val="nil"/>
          <w:right w:val="nil"/>
          <w:between w:val="nil"/>
        </w:pBdr>
        <w:spacing w:after="0" w:line="276" w:lineRule="auto"/>
        <w:rPr>
          <w:rFonts w:ascii="Cambria" w:eastAsia="Cambria" w:hAnsi="Cambria" w:cs="Cambria"/>
          <w:color w:val="000000"/>
          <w:sz w:val="26"/>
          <w:szCs w:val="26"/>
        </w:rPr>
      </w:pPr>
      <w:proofErr w:type="spellStart"/>
      <w:r>
        <w:rPr>
          <w:rFonts w:ascii="Cambria" w:eastAsia="Cambria" w:hAnsi="Cambria" w:cs="Cambria"/>
          <w:sz w:val="26"/>
          <w:szCs w:val="26"/>
        </w:rPr>
        <w:t>Nunung</w:t>
      </w:r>
      <w:proofErr w:type="spellEnd"/>
      <w:r>
        <w:rPr>
          <w:rFonts w:ascii="Cambria" w:eastAsia="Cambria" w:hAnsi="Cambria" w:cs="Cambria"/>
          <w:sz w:val="26"/>
          <w:szCs w:val="26"/>
        </w:rPr>
        <w:t xml:space="preserve"> Cipta Dainy</w:t>
      </w:r>
      <w:r w:rsidR="00FA4AE5">
        <w:rPr>
          <w:rFonts w:ascii="Cambria" w:eastAsia="Cambria" w:hAnsi="Cambria" w:cs="Cambria"/>
          <w:color w:val="000000"/>
          <w:sz w:val="26"/>
          <w:szCs w:val="26"/>
          <w:vertAlign w:val="superscript"/>
        </w:rPr>
        <w:t>1*</w:t>
      </w:r>
      <w:r w:rsidR="00FA4AE5">
        <w:rPr>
          <w:rFonts w:ascii="Cambria" w:eastAsia="Cambria" w:hAnsi="Cambria" w:cs="Cambria"/>
          <w:color w:val="000000"/>
          <w:sz w:val="26"/>
          <w:szCs w:val="26"/>
        </w:rPr>
        <w:t xml:space="preserve">, </w:t>
      </w:r>
      <w:r>
        <w:rPr>
          <w:rFonts w:ascii="Cambria" w:eastAsia="Cambria" w:hAnsi="Cambria" w:cs="Cambria"/>
          <w:color w:val="000000"/>
          <w:sz w:val="26"/>
          <w:szCs w:val="26"/>
        </w:rPr>
        <w:t>Wilda Yunieswati</w:t>
      </w:r>
      <w:r w:rsidR="00FA4AE5">
        <w:rPr>
          <w:rFonts w:ascii="Cambria" w:eastAsia="Cambria" w:hAnsi="Cambria" w:cs="Cambria"/>
          <w:color w:val="000000"/>
          <w:sz w:val="26"/>
          <w:szCs w:val="26"/>
          <w:vertAlign w:val="superscript"/>
        </w:rPr>
        <w:t>1</w:t>
      </w:r>
    </w:p>
    <w:bookmarkEnd w:id="1"/>
    <w:p w14:paraId="59E04ECF" w14:textId="77777777" w:rsidR="00C72575" w:rsidRDefault="00C72575">
      <w:pPr>
        <w:pBdr>
          <w:top w:val="nil"/>
          <w:left w:val="nil"/>
          <w:bottom w:val="nil"/>
          <w:right w:val="nil"/>
          <w:between w:val="nil"/>
        </w:pBdr>
        <w:spacing w:after="0" w:line="276" w:lineRule="auto"/>
        <w:ind w:right="-2"/>
        <w:rPr>
          <w:rFonts w:ascii="Cambria" w:eastAsia="Cambria" w:hAnsi="Cambria" w:cs="Cambria"/>
          <w:color w:val="000000"/>
          <w:sz w:val="30"/>
          <w:szCs w:val="30"/>
        </w:rPr>
      </w:pPr>
    </w:p>
    <w:tbl>
      <w:tblPr>
        <w:tblStyle w:val="a"/>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5"/>
        <w:gridCol w:w="6735"/>
      </w:tblGrid>
      <w:tr w:rsidR="00C72575" w:rsidRPr="0066515B" w14:paraId="59E04EE9" w14:textId="77777777">
        <w:tc>
          <w:tcPr>
            <w:tcW w:w="2895" w:type="dxa"/>
            <w:tcBorders>
              <w:top w:val="nil"/>
              <w:left w:val="nil"/>
              <w:bottom w:val="nil"/>
              <w:right w:val="single" w:sz="24" w:space="0" w:color="A6A6A6"/>
            </w:tcBorders>
          </w:tcPr>
          <w:p w14:paraId="05662296" w14:textId="77777777" w:rsidR="00E00E42" w:rsidRPr="00A46712" w:rsidRDefault="00FA4AE5">
            <w:pPr>
              <w:pBdr>
                <w:top w:val="nil"/>
                <w:left w:val="nil"/>
                <w:bottom w:val="nil"/>
                <w:right w:val="nil"/>
                <w:between w:val="nil"/>
              </w:pBdr>
              <w:ind w:left="-111" w:right="177"/>
              <w:jc w:val="both"/>
              <w:rPr>
                <w:rFonts w:ascii="Cambria" w:eastAsia="Cambria" w:hAnsi="Cambria" w:cs="Cambria"/>
                <w:color w:val="000000"/>
                <w:sz w:val="16"/>
                <w:szCs w:val="16"/>
              </w:rPr>
            </w:pPr>
            <w:r>
              <w:rPr>
                <w:rFonts w:ascii="Cambria" w:eastAsia="Cambria" w:hAnsi="Cambria" w:cs="Cambria"/>
                <w:color w:val="000000"/>
                <w:sz w:val="16"/>
                <w:szCs w:val="16"/>
                <w:vertAlign w:val="superscript"/>
              </w:rPr>
              <w:t>1</w:t>
            </w:r>
            <w:r w:rsidR="009F6C11">
              <w:rPr>
                <w:rFonts w:ascii="Cambria" w:eastAsia="Cambria" w:hAnsi="Cambria" w:cs="Cambria"/>
                <w:color w:val="000000"/>
                <w:sz w:val="16"/>
                <w:szCs w:val="16"/>
              </w:rPr>
              <w:t xml:space="preserve">Program Studi Sarjana Gizi, </w:t>
            </w:r>
            <w:proofErr w:type="spellStart"/>
            <w:r w:rsidR="009F6C11">
              <w:rPr>
                <w:rFonts w:ascii="Cambria" w:eastAsia="Cambria" w:hAnsi="Cambria" w:cs="Cambria"/>
                <w:color w:val="000000"/>
                <w:sz w:val="16"/>
                <w:szCs w:val="16"/>
              </w:rPr>
              <w:t>Fakultas</w:t>
            </w:r>
            <w:proofErr w:type="spellEnd"/>
            <w:r w:rsidR="009F6C11">
              <w:rPr>
                <w:rFonts w:ascii="Cambria" w:eastAsia="Cambria" w:hAnsi="Cambria" w:cs="Cambria"/>
                <w:color w:val="000000"/>
                <w:sz w:val="16"/>
                <w:szCs w:val="16"/>
              </w:rPr>
              <w:t xml:space="preserve"> </w:t>
            </w:r>
            <w:proofErr w:type="spellStart"/>
            <w:r w:rsidR="009F6C11">
              <w:rPr>
                <w:rFonts w:ascii="Cambria" w:eastAsia="Cambria" w:hAnsi="Cambria" w:cs="Cambria"/>
                <w:color w:val="000000"/>
                <w:sz w:val="16"/>
                <w:szCs w:val="16"/>
              </w:rPr>
              <w:t>Kedokteran</w:t>
            </w:r>
            <w:proofErr w:type="spellEnd"/>
            <w:r w:rsidR="009F6C11">
              <w:rPr>
                <w:rFonts w:ascii="Cambria" w:eastAsia="Cambria" w:hAnsi="Cambria" w:cs="Cambria"/>
                <w:color w:val="000000"/>
                <w:sz w:val="16"/>
                <w:szCs w:val="16"/>
              </w:rPr>
              <w:t xml:space="preserve"> dan Kesehatan, </w:t>
            </w:r>
            <w:r w:rsidR="009F6C11" w:rsidRPr="00A46712">
              <w:rPr>
                <w:rFonts w:ascii="Cambria" w:eastAsia="Cambria" w:hAnsi="Cambria" w:cs="Cambria"/>
                <w:color w:val="000000"/>
                <w:sz w:val="16"/>
                <w:szCs w:val="16"/>
              </w:rPr>
              <w:t>Universitas Muhammadiyah Jakarta</w:t>
            </w:r>
          </w:p>
          <w:p w14:paraId="59E04ED0" w14:textId="1EE931D4" w:rsidR="00C72575" w:rsidRDefault="00E00E42">
            <w:pPr>
              <w:pBdr>
                <w:top w:val="nil"/>
                <w:left w:val="nil"/>
                <w:bottom w:val="nil"/>
                <w:right w:val="nil"/>
                <w:between w:val="nil"/>
              </w:pBdr>
              <w:ind w:left="-111" w:right="177"/>
              <w:jc w:val="both"/>
              <w:rPr>
                <w:rFonts w:ascii="Cambria" w:eastAsia="Cambria" w:hAnsi="Cambria" w:cs="Cambria"/>
                <w:color w:val="000000"/>
                <w:sz w:val="16"/>
                <w:szCs w:val="16"/>
              </w:rPr>
            </w:pPr>
            <w:r w:rsidRPr="00A46712">
              <w:rPr>
                <w:rFonts w:ascii="Cambria" w:eastAsia="Cambria" w:hAnsi="Cambria" w:cs="Cambria"/>
                <w:color w:val="000000"/>
                <w:sz w:val="16"/>
                <w:szCs w:val="16"/>
              </w:rPr>
              <w:t xml:space="preserve">Email: </w:t>
            </w:r>
            <w:r w:rsidR="00A46712" w:rsidRPr="00A46712">
              <w:rPr>
                <w:rFonts w:ascii="Cambria" w:eastAsia="Cambria" w:hAnsi="Cambria" w:cs="Cambria"/>
                <w:color w:val="000000"/>
                <w:sz w:val="16"/>
                <w:szCs w:val="16"/>
              </w:rPr>
              <w:t>nciptadainy</w:t>
            </w:r>
            <w:r w:rsidR="00A46712">
              <w:rPr>
                <w:rFonts w:ascii="Cambria" w:eastAsia="Cambria" w:hAnsi="Cambria" w:cs="Cambria"/>
                <w:color w:val="000000"/>
                <w:sz w:val="16"/>
                <w:szCs w:val="16"/>
              </w:rPr>
              <w:t>@umj.ac.id</w:t>
            </w:r>
          </w:p>
          <w:p w14:paraId="262C1BFD" w14:textId="66D3F689" w:rsidR="00E00E42" w:rsidRDefault="00FA4AE5" w:rsidP="00E00E42">
            <w:pPr>
              <w:pBdr>
                <w:top w:val="nil"/>
                <w:left w:val="nil"/>
                <w:bottom w:val="nil"/>
                <w:right w:val="nil"/>
                <w:between w:val="nil"/>
              </w:pBdr>
              <w:ind w:left="-111" w:right="177"/>
              <w:jc w:val="both"/>
              <w:rPr>
                <w:rFonts w:ascii="Cambria" w:eastAsia="Cambria" w:hAnsi="Cambria" w:cs="Cambria"/>
                <w:color w:val="000000"/>
                <w:sz w:val="16"/>
                <w:szCs w:val="16"/>
              </w:rPr>
            </w:pPr>
            <w:r>
              <w:rPr>
                <w:rFonts w:ascii="Cambria" w:eastAsia="Cambria" w:hAnsi="Cambria" w:cs="Cambria"/>
                <w:color w:val="000000"/>
                <w:sz w:val="16"/>
                <w:szCs w:val="16"/>
                <w:vertAlign w:val="superscript"/>
              </w:rPr>
              <w:t>2</w:t>
            </w:r>
            <w:r w:rsidR="00E00E42">
              <w:rPr>
                <w:rFonts w:ascii="Cambria" w:eastAsia="Cambria" w:hAnsi="Cambria" w:cs="Cambria"/>
                <w:color w:val="000000"/>
                <w:sz w:val="16"/>
                <w:szCs w:val="16"/>
              </w:rPr>
              <w:t xml:space="preserve"> Program Studi Sarjana Gizi, </w:t>
            </w:r>
            <w:proofErr w:type="spellStart"/>
            <w:r w:rsidR="00E00E42">
              <w:rPr>
                <w:rFonts w:ascii="Cambria" w:eastAsia="Cambria" w:hAnsi="Cambria" w:cs="Cambria"/>
                <w:color w:val="000000"/>
                <w:sz w:val="16"/>
                <w:szCs w:val="16"/>
              </w:rPr>
              <w:t>Fakultas</w:t>
            </w:r>
            <w:proofErr w:type="spellEnd"/>
            <w:r w:rsidR="00E00E42">
              <w:rPr>
                <w:rFonts w:ascii="Cambria" w:eastAsia="Cambria" w:hAnsi="Cambria" w:cs="Cambria"/>
                <w:color w:val="000000"/>
                <w:sz w:val="16"/>
                <w:szCs w:val="16"/>
              </w:rPr>
              <w:t xml:space="preserve"> </w:t>
            </w:r>
            <w:proofErr w:type="spellStart"/>
            <w:r w:rsidR="00E00E42">
              <w:rPr>
                <w:rFonts w:ascii="Cambria" w:eastAsia="Cambria" w:hAnsi="Cambria" w:cs="Cambria"/>
                <w:color w:val="000000"/>
                <w:sz w:val="16"/>
                <w:szCs w:val="16"/>
              </w:rPr>
              <w:t>Kedokteran</w:t>
            </w:r>
            <w:proofErr w:type="spellEnd"/>
            <w:r w:rsidR="00E00E42">
              <w:rPr>
                <w:rFonts w:ascii="Cambria" w:eastAsia="Cambria" w:hAnsi="Cambria" w:cs="Cambria"/>
                <w:color w:val="000000"/>
                <w:sz w:val="16"/>
                <w:szCs w:val="16"/>
              </w:rPr>
              <w:t xml:space="preserve"> dan Kesehatan, Universitas Muhammadiyah Jakarta</w:t>
            </w:r>
          </w:p>
          <w:p w14:paraId="053A85CA" w14:textId="6A6E424D" w:rsidR="00E00E42" w:rsidRDefault="00E00E42" w:rsidP="00E00E42">
            <w:pPr>
              <w:pBdr>
                <w:top w:val="nil"/>
                <w:left w:val="nil"/>
                <w:bottom w:val="nil"/>
                <w:right w:val="nil"/>
                <w:between w:val="nil"/>
              </w:pBdr>
              <w:ind w:left="-111" w:right="177"/>
              <w:jc w:val="both"/>
              <w:rPr>
                <w:rFonts w:ascii="Cambria" w:eastAsia="Cambria" w:hAnsi="Cambria" w:cs="Cambria"/>
                <w:color w:val="000000"/>
                <w:sz w:val="16"/>
                <w:szCs w:val="16"/>
              </w:rPr>
            </w:pPr>
            <w:r>
              <w:rPr>
                <w:rFonts w:ascii="Cambria" w:eastAsia="Cambria" w:hAnsi="Cambria" w:cs="Cambria"/>
                <w:color w:val="000000"/>
                <w:sz w:val="16"/>
                <w:szCs w:val="16"/>
              </w:rPr>
              <w:t xml:space="preserve">Email: </w:t>
            </w:r>
            <w:proofErr w:type="spellStart"/>
            <w:r>
              <w:rPr>
                <w:rFonts w:ascii="Cambria" w:eastAsia="Cambria" w:hAnsi="Cambria" w:cs="Cambria"/>
                <w:color w:val="000000"/>
                <w:sz w:val="16"/>
                <w:szCs w:val="16"/>
              </w:rPr>
              <w:t>wilda</w:t>
            </w:r>
            <w:proofErr w:type="spellEnd"/>
            <w:r>
              <w:rPr>
                <w:rFonts w:ascii="Cambria" w:eastAsia="Cambria" w:hAnsi="Cambria" w:cs="Cambria"/>
                <w:color w:val="000000"/>
                <w:sz w:val="16"/>
                <w:szCs w:val="16"/>
              </w:rPr>
              <w:t xml:space="preserve"> @umj.ac.id</w:t>
            </w:r>
          </w:p>
          <w:p w14:paraId="59E04ED1" w14:textId="312B57CC" w:rsidR="00C72575" w:rsidRDefault="00C72575">
            <w:pPr>
              <w:pBdr>
                <w:top w:val="nil"/>
                <w:left w:val="nil"/>
                <w:bottom w:val="nil"/>
                <w:right w:val="nil"/>
                <w:between w:val="nil"/>
              </w:pBdr>
              <w:ind w:left="-111" w:right="81"/>
              <w:jc w:val="both"/>
              <w:rPr>
                <w:rFonts w:ascii="Cambria" w:eastAsia="Cambria" w:hAnsi="Cambria" w:cs="Cambria"/>
                <w:color w:val="000000"/>
                <w:sz w:val="16"/>
                <w:szCs w:val="16"/>
              </w:rPr>
            </w:pPr>
          </w:p>
          <w:p w14:paraId="59E04ED4" w14:textId="77777777" w:rsidR="00C72575" w:rsidRDefault="00C72575">
            <w:pPr>
              <w:pBdr>
                <w:top w:val="nil"/>
                <w:left w:val="nil"/>
                <w:bottom w:val="nil"/>
                <w:right w:val="nil"/>
                <w:between w:val="nil"/>
              </w:pBdr>
              <w:ind w:left="-111" w:right="81"/>
              <w:jc w:val="both"/>
              <w:rPr>
                <w:rFonts w:ascii="Cambria" w:eastAsia="Cambria" w:hAnsi="Cambria" w:cs="Cambria"/>
                <w:color w:val="000000"/>
                <w:sz w:val="16"/>
                <w:szCs w:val="16"/>
              </w:rPr>
            </w:pPr>
          </w:p>
          <w:p w14:paraId="59E04ED5" w14:textId="77777777" w:rsidR="00C72575" w:rsidRDefault="00FA4AE5">
            <w:pPr>
              <w:pBdr>
                <w:top w:val="nil"/>
                <w:left w:val="nil"/>
                <w:bottom w:val="nil"/>
                <w:right w:val="nil"/>
                <w:between w:val="nil"/>
              </w:pBdr>
              <w:ind w:left="-111" w:right="81"/>
              <w:jc w:val="both"/>
              <w:rPr>
                <w:rFonts w:ascii="Cambria" w:eastAsia="Cambria" w:hAnsi="Cambria" w:cs="Cambria"/>
                <w:color w:val="000000"/>
                <w:sz w:val="16"/>
                <w:szCs w:val="16"/>
              </w:rPr>
            </w:pPr>
            <w:r>
              <w:rPr>
                <w:rFonts w:ascii="Cambria" w:eastAsia="Cambria" w:hAnsi="Cambria" w:cs="Cambria"/>
                <w:b/>
                <w:color w:val="000000"/>
                <w:sz w:val="16"/>
                <w:szCs w:val="16"/>
              </w:rPr>
              <w:t>*</w:t>
            </w:r>
            <w:proofErr w:type="spellStart"/>
            <w:r>
              <w:rPr>
                <w:rFonts w:ascii="Cambria" w:eastAsia="Cambria" w:hAnsi="Cambria" w:cs="Cambria"/>
                <w:b/>
                <w:color w:val="000000"/>
                <w:sz w:val="16"/>
                <w:szCs w:val="16"/>
              </w:rPr>
              <w:t>Korespondensi</w:t>
            </w:r>
            <w:proofErr w:type="spellEnd"/>
            <w:r>
              <w:rPr>
                <w:rFonts w:ascii="Cambria" w:eastAsia="Cambria" w:hAnsi="Cambria" w:cs="Cambria"/>
                <w:b/>
                <w:color w:val="000000"/>
                <w:sz w:val="16"/>
                <w:szCs w:val="16"/>
              </w:rPr>
              <w:t>:</w:t>
            </w:r>
          </w:p>
          <w:p w14:paraId="4A7A9B5F" w14:textId="77777777" w:rsidR="00E00E42" w:rsidRDefault="00E00E42" w:rsidP="00E00E42">
            <w:pPr>
              <w:pBdr>
                <w:top w:val="nil"/>
                <w:left w:val="nil"/>
                <w:bottom w:val="nil"/>
                <w:right w:val="nil"/>
                <w:between w:val="nil"/>
              </w:pBdr>
              <w:ind w:left="-111" w:right="177"/>
              <w:jc w:val="both"/>
              <w:rPr>
                <w:rFonts w:ascii="Cambria" w:eastAsia="Cambria" w:hAnsi="Cambria" w:cs="Cambria"/>
                <w:color w:val="000000"/>
                <w:sz w:val="16"/>
                <w:szCs w:val="16"/>
              </w:rPr>
            </w:pPr>
            <w:r>
              <w:rPr>
                <w:rFonts w:ascii="Cambria" w:eastAsia="Cambria" w:hAnsi="Cambria" w:cs="Cambria"/>
                <w:color w:val="000000"/>
                <w:sz w:val="16"/>
                <w:szCs w:val="16"/>
              </w:rPr>
              <w:t xml:space="preserve">Program Studi Sarjana Gizi, </w:t>
            </w:r>
            <w:proofErr w:type="spellStart"/>
            <w:r>
              <w:rPr>
                <w:rFonts w:ascii="Cambria" w:eastAsia="Cambria" w:hAnsi="Cambria" w:cs="Cambria"/>
                <w:color w:val="000000"/>
                <w:sz w:val="16"/>
                <w:szCs w:val="16"/>
              </w:rPr>
              <w:t>Fakultas</w:t>
            </w:r>
            <w:proofErr w:type="spellEnd"/>
            <w:r>
              <w:rPr>
                <w:rFonts w:ascii="Cambria" w:eastAsia="Cambria" w:hAnsi="Cambria" w:cs="Cambria"/>
                <w:color w:val="000000"/>
                <w:sz w:val="16"/>
                <w:szCs w:val="16"/>
              </w:rPr>
              <w:t xml:space="preserve"> </w:t>
            </w:r>
            <w:proofErr w:type="spellStart"/>
            <w:r>
              <w:rPr>
                <w:rFonts w:ascii="Cambria" w:eastAsia="Cambria" w:hAnsi="Cambria" w:cs="Cambria"/>
                <w:color w:val="000000"/>
                <w:sz w:val="16"/>
                <w:szCs w:val="16"/>
              </w:rPr>
              <w:t>Kedokteran</w:t>
            </w:r>
            <w:proofErr w:type="spellEnd"/>
            <w:r>
              <w:rPr>
                <w:rFonts w:ascii="Cambria" w:eastAsia="Cambria" w:hAnsi="Cambria" w:cs="Cambria"/>
                <w:color w:val="000000"/>
                <w:sz w:val="16"/>
                <w:szCs w:val="16"/>
              </w:rPr>
              <w:t xml:space="preserve"> dan Kesehatan, Universitas Muhammadiyah Jakarta</w:t>
            </w:r>
          </w:p>
          <w:p w14:paraId="5CA77635" w14:textId="2CC1D028" w:rsidR="00E00E42" w:rsidRDefault="00E00E42" w:rsidP="00E00E42">
            <w:pPr>
              <w:pBdr>
                <w:top w:val="nil"/>
                <w:left w:val="nil"/>
                <w:bottom w:val="nil"/>
                <w:right w:val="nil"/>
                <w:between w:val="nil"/>
              </w:pBdr>
              <w:ind w:left="-111" w:right="177"/>
              <w:jc w:val="both"/>
              <w:rPr>
                <w:rFonts w:ascii="Cambria" w:eastAsia="Cambria" w:hAnsi="Cambria" w:cs="Cambria"/>
                <w:color w:val="000000"/>
                <w:sz w:val="16"/>
                <w:szCs w:val="16"/>
              </w:rPr>
            </w:pPr>
            <w:r w:rsidRPr="00A46712">
              <w:rPr>
                <w:rFonts w:ascii="Cambria" w:eastAsia="Cambria" w:hAnsi="Cambria" w:cs="Cambria"/>
                <w:color w:val="000000"/>
                <w:sz w:val="16"/>
                <w:szCs w:val="16"/>
              </w:rPr>
              <w:t xml:space="preserve">Email: </w:t>
            </w:r>
            <w:r w:rsidR="00A46712" w:rsidRPr="00A46712">
              <w:rPr>
                <w:rFonts w:ascii="Cambria" w:eastAsia="Cambria" w:hAnsi="Cambria" w:cs="Cambria"/>
                <w:color w:val="000000"/>
                <w:sz w:val="16"/>
                <w:szCs w:val="16"/>
              </w:rPr>
              <w:t>nciptadainy</w:t>
            </w:r>
            <w:r w:rsidR="00A46712">
              <w:rPr>
                <w:rFonts w:ascii="Cambria" w:eastAsia="Cambria" w:hAnsi="Cambria" w:cs="Cambria"/>
                <w:color w:val="000000"/>
                <w:sz w:val="16"/>
                <w:szCs w:val="16"/>
              </w:rPr>
              <w:t>@umj.ac.id</w:t>
            </w:r>
          </w:p>
          <w:p w14:paraId="59E04ED6" w14:textId="355CF6F3" w:rsidR="00C72575" w:rsidRDefault="00FA4AE5">
            <w:pPr>
              <w:pBdr>
                <w:top w:val="nil"/>
                <w:left w:val="nil"/>
                <w:bottom w:val="nil"/>
                <w:right w:val="nil"/>
                <w:between w:val="nil"/>
              </w:pBdr>
              <w:ind w:left="-111" w:right="81"/>
              <w:jc w:val="both"/>
              <w:rPr>
                <w:rFonts w:ascii="Cambria" w:eastAsia="Cambria" w:hAnsi="Cambria" w:cs="Cambria"/>
                <w:color w:val="000000"/>
                <w:sz w:val="16"/>
                <w:szCs w:val="16"/>
              </w:rPr>
            </w:pPr>
            <w:r>
              <w:rPr>
                <w:rFonts w:ascii="Cambria" w:eastAsia="Cambria" w:hAnsi="Cambria" w:cs="Cambria"/>
                <w:color w:val="000000"/>
                <w:sz w:val="16"/>
                <w:szCs w:val="16"/>
              </w:rPr>
              <w:t>.</w:t>
            </w:r>
          </w:p>
          <w:p w14:paraId="59E04ED7" w14:textId="77777777" w:rsidR="00C72575" w:rsidRDefault="00C72575">
            <w:pPr>
              <w:pBdr>
                <w:top w:val="nil"/>
                <w:left w:val="nil"/>
                <w:bottom w:val="nil"/>
                <w:right w:val="nil"/>
                <w:between w:val="nil"/>
              </w:pBdr>
              <w:ind w:left="-111" w:right="81"/>
              <w:jc w:val="both"/>
              <w:rPr>
                <w:rFonts w:ascii="Cambria" w:eastAsia="Cambria" w:hAnsi="Cambria" w:cs="Cambria"/>
                <w:color w:val="000000"/>
                <w:sz w:val="16"/>
                <w:szCs w:val="16"/>
              </w:rPr>
            </w:pPr>
          </w:p>
          <w:p w14:paraId="59E04ED8" w14:textId="77777777" w:rsidR="00C72575" w:rsidRDefault="00FA4AE5">
            <w:pPr>
              <w:pBdr>
                <w:top w:val="nil"/>
                <w:left w:val="nil"/>
                <w:bottom w:val="nil"/>
                <w:right w:val="nil"/>
                <w:between w:val="nil"/>
              </w:pBdr>
              <w:ind w:left="-111" w:right="81"/>
              <w:jc w:val="both"/>
              <w:rPr>
                <w:rFonts w:ascii="Cambria" w:eastAsia="Cambria" w:hAnsi="Cambria" w:cs="Cambria"/>
                <w:color w:val="000000"/>
                <w:sz w:val="16"/>
                <w:szCs w:val="16"/>
              </w:rPr>
            </w:pPr>
            <w:r>
              <w:rPr>
                <w:rFonts w:ascii="Cambria" w:eastAsia="Cambria" w:hAnsi="Cambria" w:cs="Cambria"/>
                <w:b/>
                <w:color w:val="000000"/>
                <w:sz w:val="16"/>
                <w:szCs w:val="16"/>
              </w:rPr>
              <w:t>Riwayat Artikel:</w:t>
            </w:r>
          </w:p>
          <w:p w14:paraId="59E04ED9" w14:textId="77777777" w:rsidR="00C72575" w:rsidRDefault="00FA4AE5">
            <w:pPr>
              <w:pBdr>
                <w:top w:val="nil"/>
                <w:left w:val="nil"/>
                <w:bottom w:val="nil"/>
                <w:right w:val="nil"/>
                <w:between w:val="nil"/>
              </w:pBdr>
              <w:ind w:left="-111" w:right="81"/>
              <w:jc w:val="both"/>
              <w:rPr>
                <w:rFonts w:ascii="Cambria" w:eastAsia="Cambria" w:hAnsi="Cambria" w:cs="Cambria"/>
                <w:color w:val="000000"/>
                <w:sz w:val="16"/>
                <w:szCs w:val="16"/>
              </w:rPr>
            </w:pPr>
            <w:proofErr w:type="spellStart"/>
            <w:r w:rsidRPr="00A46712">
              <w:rPr>
                <w:rFonts w:ascii="Cambria" w:eastAsia="Cambria" w:hAnsi="Cambria" w:cs="Cambria"/>
                <w:color w:val="000000"/>
                <w:sz w:val="16"/>
                <w:szCs w:val="16"/>
                <w:highlight w:val="cyan"/>
              </w:rPr>
              <w:t>Diterima</w:t>
            </w:r>
            <w:proofErr w:type="spellEnd"/>
            <w:r w:rsidRPr="00A46712">
              <w:rPr>
                <w:rFonts w:ascii="Cambria" w:eastAsia="Cambria" w:hAnsi="Cambria" w:cs="Cambria"/>
                <w:color w:val="000000"/>
                <w:sz w:val="16"/>
                <w:szCs w:val="16"/>
                <w:highlight w:val="cyan"/>
              </w:rPr>
              <w:t xml:space="preserve"> </w:t>
            </w:r>
            <w:proofErr w:type="spellStart"/>
            <w:r w:rsidRPr="00A46712">
              <w:rPr>
                <w:rFonts w:ascii="Cambria" w:eastAsia="Cambria" w:hAnsi="Cambria" w:cs="Cambria"/>
                <w:color w:val="000000"/>
                <w:sz w:val="16"/>
                <w:szCs w:val="16"/>
                <w:highlight w:val="cyan"/>
              </w:rPr>
              <w:t>tanggal</w:t>
            </w:r>
            <w:proofErr w:type="spellEnd"/>
            <w:r w:rsidRPr="00A46712">
              <w:rPr>
                <w:rFonts w:ascii="Cambria" w:eastAsia="Cambria" w:hAnsi="Cambria" w:cs="Cambria"/>
                <w:color w:val="000000"/>
                <w:sz w:val="16"/>
                <w:szCs w:val="16"/>
                <w:highlight w:val="cyan"/>
              </w:rPr>
              <w:t xml:space="preserve"> 7 </w:t>
            </w:r>
            <w:proofErr w:type="spellStart"/>
            <w:r w:rsidRPr="00A46712">
              <w:rPr>
                <w:rFonts w:ascii="Cambria" w:eastAsia="Cambria" w:hAnsi="Cambria" w:cs="Cambria"/>
                <w:color w:val="000000"/>
                <w:sz w:val="16"/>
                <w:szCs w:val="16"/>
                <w:highlight w:val="cyan"/>
              </w:rPr>
              <w:t>Februari</w:t>
            </w:r>
            <w:proofErr w:type="spellEnd"/>
            <w:r w:rsidRPr="00A46712">
              <w:rPr>
                <w:rFonts w:ascii="Cambria" w:eastAsia="Cambria" w:hAnsi="Cambria" w:cs="Cambria"/>
                <w:color w:val="000000"/>
                <w:sz w:val="16"/>
                <w:szCs w:val="16"/>
                <w:highlight w:val="cyan"/>
              </w:rPr>
              <w:t xml:space="preserve"> 2019; </w:t>
            </w:r>
            <w:proofErr w:type="spellStart"/>
            <w:r w:rsidRPr="00A46712">
              <w:rPr>
                <w:rFonts w:ascii="Cambria" w:eastAsia="Cambria" w:hAnsi="Cambria" w:cs="Cambria"/>
                <w:color w:val="000000"/>
                <w:sz w:val="16"/>
                <w:szCs w:val="16"/>
                <w:highlight w:val="cyan"/>
              </w:rPr>
              <w:t>Direvisi</w:t>
            </w:r>
            <w:proofErr w:type="spellEnd"/>
            <w:r w:rsidRPr="00A46712">
              <w:rPr>
                <w:rFonts w:ascii="Cambria" w:eastAsia="Cambria" w:hAnsi="Cambria" w:cs="Cambria"/>
                <w:color w:val="000000"/>
                <w:sz w:val="16"/>
                <w:szCs w:val="16"/>
                <w:highlight w:val="cyan"/>
              </w:rPr>
              <w:t xml:space="preserve"> </w:t>
            </w:r>
            <w:proofErr w:type="spellStart"/>
            <w:r w:rsidRPr="00A46712">
              <w:rPr>
                <w:rFonts w:ascii="Cambria" w:eastAsia="Cambria" w:hAnsi="Cambria" w:cs="Cambria"/>
                <w:color w:val="000000"/>
                <w:sz w:val="16"/>
                <w:szCs w:val="16"/>
                <w:highlight w:val="cyan"/>
              </w:rPr>
              <w:t>tanggal</w:t>
            </w:r>
            <w:proofErr w:type="spellEnd"/>
            <w:r w:rsidRPr="00A46712">
              <w:rPr>
                <w:rFonts w:ascii="Cambria" w:eastAsia="Cambria" w:hAnsi="Cambria" w:cs="Cambria"/>
                <w:color w:val="000000"/>
                <w:sz w:val="16"/>
                <w:szCs w:val="16"/>
                <w:highlight w:val="cyan"/>
              </w:rPr>
              <w:t xml:space="preserve"> 21 Maret 2019; </w:t>
            </w:r>
            <w:proofErr w:type="spellStart"/>
            <w:r w:rsidRPr="00A46712">
              <w:rPr>
                <w:rFonts w:ascii="Cambria" w:eastAsia="Cambria" w:hAnsi="Cambria" w:cs="Cambria"/>
                <w:color w:val="000000"/>
                <w:sz w:val="16"/>
                <w:szCs w:val="16"/>
                <w:highlight w:val="cyan"/>
              </w:rPr>
              <w:t>Disetujui</w:t>
            </w:r>
            <w:proofErr w:type="spellEnd"/>
            <w:r w:rsidRPr="00A46712">
              <w:rPr>
                <w:rFonts w:ascii="Cambria" w:eastAsia="Cambria" w:hAnsi="Cambria" w:cs="Cambria"/>
                <w:color w:val="000000"/>
                <w:sz w:val="16"/>
                <w:szCs w:val="16"/>
                <w:highlight w:val="cyan"/>
              </w:rPr>
              <w:t xml:space="preserve"> </w:t>
            </w:r>
            <w:proofErr w:type="spellStart"/>
            <w:r w:rsidRPr="00A46712">
              <w:rPr>
                <w:rFonts w:ascii="Cambria" w:eastAsia="Cambria" w:hAnsi="Cambria" w:cs="Cambria"/>
                <w:color w:val="000000"/>
                <w:sz w:val="16"/>
                <w:szCs w:val="16"/>
                <w:highlight w:val="cyan"/>
              </w:rPr>
              <w:t>tanggal</w:t>
            </w:r>
            <w:proofErr w:type="spellEnd"/>
            <w:r w:rsidRPr="00A46712">
              <w:rPr>
                <w:rFonts w:ascii="Cambria" w:eastAsia="Cambria" w:hAnsi="Cambria" w:cs="Cambria"/>
                <w:color w:val="000000"/>
                <w:sz w:val="16"/>
                <w:szCs w:val="16"/>
                <w:highlight w:val="cyan"/>
              </w:rPr>
              <w:t xml:space="preserve"> 10 April 2019; </w:t>
            </w:r>
            <w:proofErr w:type="spellStart"/>
            <w:r w:rsidRPr="00A46712">
              <w:rPr>
                <w:rFonts w:ascii="Cambria" w:eastAsia="Cambria" w:hAnsi="Cambria" w:cs="Cambria"/>
                <w:color w:val="000000"/>
                <w:sz w:val="16"/>
                <w:szCs w:val="16"/>
                <w:highlight w:val="cyan"/>
              </w:rPr>
              <w:t>Dipublikasi</w:t>
            </w:r>
            <w:proofErr w:type="spellEnd"/>
            <w:r w:rsidRPr="00A46712">
              <w:rPr>
                <w:rFonts w:ascii="Cambria" w:eastAsia="Cambria" w:hAnsi="Cambria" w:cs="Cambria"/>
                <w:color w:val="000000"/>
                <w:sz w:val="16"/>
                <w:szCs w:val="16"/>
                <w:highlight w:val="cyan"/>
              </w:rPr>
              <w:t xml:space="preserve"> </w:t>
            </w:r>
            <w:proofErr w:type="spellStart"/>
            <w:r w:rsidRPr="00A46712">
              <w:rPr>
                <w:rFonts w:ascii="Cambria" w:eastAsia="Cambria" w:hAnsi="Cambria" w:cs="Cambria"/>
                <w:color w:val="000000"/>
                <w:sz w:val="16"/>
                <w:szCs w:val="16"/>
                <w:highlight w:val="cyan"/>
              </w:rPr>
              <w:t>tanggal</w:t>
            </w:r>
            <w:proofErr w:type="spellEnd"/>
            <w:r w:rsidRPr="00A46712">
              <w:rPr>
                <w:rFonts w:ascii="Cambria" w:eastAsia="Cambria" w:hAnsi="Cambria" w:cs="Cambria"/>
                <w:color w:val="000000"/>
                <w:sz w:val="16"/>
                <w:szCs w:val="16"/>
                <w:highlight w:val="cyan"/>
              </w:rPr>
              <w:t xml:space="preserve"> 1 Juni 2019.</w:t>
            </w:r>
          </w:p>
          <w:p w14:paraId="59E04EDA" w14:textId="77777777" w:rsidR="00C72575" w:rsidRDefault="00C72575">
            <w:pPr>
              <w:pBdr>
                <w:top w:val="nil"/>
                <w:left w:val="nil"/>
                <w:bottom w:val="nil"/>
                <w:right w:val="nil"/>
                <w:between w:val="nil"/>
              </w:pBdr>
              <w:ind w:left="-111" w:right="81"/>
              <w:jc w:val="both"/>
              <w:rPr>
                <w:rFonts w:ascii="Cambria" w:eastAsia="Cambria" w:hAnsi="Cambria" w:cs="Cambria"/>
                <w:color w:val="000000"/>
                <w:sz w:val="16"/>
                <w:szCs w:val="16"/>
              </w:rPr>
            </w:pPr>
          </w:p>
          <w:p w14:paraId="59E04EDB" w14:textId="77777777" w:rsidR="00C72575" w:rsidRDefault="00FA4AE5">
            <w:pPr>
              <w:pBdr>
                <w:top w:val="nil"/>
                <w:left w:val="nil"/>
                <w:bottom w:val="nil"/>
                <w:right w:val="nil"/>
                <w:between w:val="nil"/>
              </w:pBdr>
              <w:ind w:left="-111" w:right="81"/>
              <w:jc w:val="both"/>
              <w:rPr>
                <w:rFonts w:ascii="Cambria" w:eastAsia="Cambria" w:hAnsi="Cambria" w:cs="Cambria"/>
                <w:b/>
                <w:color w:val="000000"/>
                <w:sz w:val="16"/>
                <w:szCs w:val="16"/>
              </w:rPr>
            </w:pPr>
            <w:proofErr w:type="spellStart"/>
            <w:r>
              <w:rPr>
                <w:rFonts w:ascii="Cambria" w:eastAsia="Cambria" w:hAnsi="Cambria" w:cs="Cambria"/>
                <w:b/>
                <w:color w:val="000000"/>
                <w:sz w:val="16"/>
                <w:szCs w:val="16"/>
              </w:rPr>
              <w:t>Penerbit</w:t>
            </w:r>
            <w:proofErr w:type="spellEnd"/>
            <w:r>
              <w:rPr>
                <w:rFonts w:ascii="Cambria" w:eastAsia="Cambria" w:hAnsi="Cambria" w:cs="Cambria"/>
                <w:b/>
                <w:color w:val="000000"/>
                <w:sz w:val="16"/>
                <w:szCs w:val="16"/>
              </w:rPr>
              <w:t>:</w:t>
            </w:r>
          </w:p>
          <w:p w14:paraId="59E04EDC" w14:textId="77777777" w:rsidR="00C72575" w:rsidRDefault="00C72575">
            <w:pPr>
              <w:pBdr>
                <w:top w:val="nil"/>
                <w:left w:val="nil"/>
                <w:bottom w:val="nil"/>
                <w:right w:val="nil"/>
                <w:between w:val="nil"/>
              </w:pBdr>
              <w:ind w:left="-111" w:right="81"/>
              <w:jc w:val="both"/>
              <w:rPr>
                <w:rFonts w:ascii="Cambria" w:eastAsia="Cambria" w:hAnsi="Cambria" w:cs="Cambria"/>
                <w:b/>
                <w:color w:val="000000"/>
                <w:sz w:val="8"/>
                <w:szCs w:val="8"/>
              </w:rPr>
            </w:pPr>
          </w:p>
          <w:p w14:paraId="59E04EDD" w14:textId="77777777" w:rsidR="00C72575" w:rsidRDefault="00FA4AE5">
            <w:pPr>
              <w:pBdr>
                <w:top w:val="nil"/>
                <w:left w:val="nil"/>
                <w:bottom w:val="nil"/>
                <w:right w:val="nil"/>
                <w:between w:val="nil"/>
              </w:pBdr>
              <w:ind w:left="-149" w:right="81"/>
              <w:jc w:val="both"/>
              <w:rPr>
                <w:rFonts w:ascii="Cambria" w:eastAsia="Cambria" w:hAnsi="Cambria" w:cs="Cambria"/>
                <w:color w:val="000000"/>
                <w:sz w:val="16"/>
                <w:szCs w:val="16"/>
              </w:rPr>
            </w:pPr>
            <w:r>
              <w:rPr>
                <w:rFonts w:ascii="Cambria" w:eastAsia="Cambria" w:hAnsi="Cambria" w:cs="Cambria"/>
                <w:noProof/>
                <w:color w:val="000000"/>
                <w:sz w:val="16"/>
                <w:szCs w:val="16"/>
              </w:rPr>
              <w:drawing>
                <wp:inline distT="0" distB="0" distL="0" distR="0" wp14:anchorId="59E04F4E" wp14:editId="59E04F4F">
                  <wp:extent cx="1657967" cy="326857"/>
                  <wp:effectExtent l="0" t="0" r="0" b="0"/>
                  <wp:docPr id="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r="2679"/>
                          <a:stretch>
                            <a:fillRect/>
                          </a:stretch>
                        </pic:blipFill>
                        <pic:spPr>
                          <a:xfrm>
                            <a:off x="0" y="0"/>
                            <a:ext cx="1657967" cy="326857"/>
                          </a:xfrm>
                          <a:prstGeom prst="rect">
                            <a:avLst/>
                          </a:prstGeom>
                          <a:ln/>
                        </pic:spPr>
                      </pic:pic>
                    </a:graphicData>
                  </a:graphic>
                </wp:inline>
              </w:drawing>
            </w:r>
          </w:p>
          <w:p w14:paraId="59E04EDE" w14:textId="77777777" w:rsidR="00C72575" w:rsidRDefault="00C72575">
            <w:pPr>
              <w:pBdr>
                <w:top w:val="nil"/>
                <w:left w:val="nil"/>
                <w:bottom w:val="nil"/>
                <w:right w:val="nil"/>
                <w:between w:val="nil"/>
              </w:pBdr>
              <w:ind w:left="-111" w:right="81"/>
              <w:jc w:val="both"/>
              <w:rPr>
                <w:rFonts w:ascii="Cambria" w:eastAsia="Cambria" w:hAnsi="Cambria" w:cs="Cambria"/>
                <w:color w:val="000000"/>
                <w:sz w:val="16"/>
                <w:szCs w:val="16"/>
              </w:rPr>
            </w:pPr>
          </w:p>
          <w:p w14:paraId="59E04EDF" w14:textId="77777777" w:rsidR="00C72575" w:rsidRDefault="00FA4AE5">
            <w:pPr>
              <w:pBdr>
                <w:top w:val="nil"/>
                <w:left w:val="nil"/>
                <w:bottom w:val="nil"/>
                <w:right w:val="nil"/>
                <w:between w:val="nil"/>
              </w:pBdr>
              <w:ind w:left="-111" w:right="81"/>
              <w:jc w:val="both"/>
              <w:rPr>
                <w:rFonts w:ascii="Cambria" w:eastAsia="Cambria" w:hAnsi="Cambria" w:cs="Cambria"/>
                <w:b/>
                <w:color w:val="000000"/>
                <w:sz w:val="16"/>
                <w:szCs w:val="16"/>
              </w:rPr>
            </w:pPr>
            <w:r>
              <w:rPr>
                <w:rFonts w:ascii="Cambria" w:eastAsia="Cambria" w:hAnsi="Cambria" w:cs="Cambria"/>
                <w:color w:val="000000"/>
                <w:sz w:val="16"/>
                <w:szCs w:val="16"/>
              </w:rPr>
              <w:t xml:space="preserve">© The Author(s). 2019 </w:t>
            </w:r>
            <w:r>
              <w:rPr>
                <w:rFonts w:ascii="Cambria" w:eastAsia="Cambria" w:hAnsi="Cambria" w:cs="Cambria"/>
                <w:b/>
                <w:color w:val="000000"/>
                <w:sz w:val="16"/>
                <w:szCs w:val="16"/>
              </w:rPr>
              <w:t>Open Access</w:t>
            </w:r>
          </w:p>
          <w:p w14:paraId="59E04EE0" w14:textId="77777777" w:rsidR="00C72575" w:rsidRDefault="00FA4AE5">
            <w:pPr>
              <w:pBdr>
                <w:top w:val="nil"/>
                <w:left w:val="nil"/>
                <w:bottom w:val="nil"/>
                <w:right w:val="nil"/>
                <w:between w:val="nil"/>
              </w:pBdr>
              <w:ind w:left="-111" w:right="81"/>
              <w:rPr>
                <w:rFonts w:ascii="Cambria" w:eastAsia="Cambria" w:hAnsi="Cambria" w:cs="Cambria"/>
                <w:i/>
                <w:color w:val="000000"/>
                <w:sz w:val="16"/>
                <w:szCs w:val="16"/>
              </w:rPr>
            </w:pPr>
            <w:r>
              <w:rPr>
                <w:rFonts w:ascii="Cambria" w:eastAsia="Cambria" w:hAnsi="Cambria" w:cs="Cambria"/>
                <w:color w:val="000000"/>
                <w:sz w:val="16"/>
                <w:szCs w:val="16"/>
              </w:rPr>
              <w:t xml:space="preserve">Artikel </w:t>
            </w:r>
            <w:proofErr w:type="spellStart"/>
            <w:r>
              <w:rPr>
                <w:rFonts w:ascii="Cambria" w:eastAsia="Cambria" w:hAnsi="Cambria" w:cs="Cambria"/>
                <w:color w:val="000000"/>
                <w:sz w:val="16"/>
                <w:szCs w:val="16"/>
              </w:rPr>
              <w:t>ini</w:t>
            </w:r>
            <w:proofErr w:type="spellEnd"/>
            <w:r>
              <w:rPr>
                <w:rFonts w:ascii="Cambria" w:eastAsia="Cambria" w:hAnsi="Cambria" w:cs="Cambria"/>
                <w:color w:val="000000"/>
                <w:sz w:val="16"/>
                <w:szCs w:val="16"/>
              </w:rPr>
              <w:t xml:space="preserve"> </w:t>
            </w:r>
            <w:proofErr w:type="spellStart"/>
            <w:r>
              <w:rPr>
                <w:rFonts w:ascii="Cambria" w:eastAsia="Cambria" w:hAnsi="Cambria" w:cs="Cambria"/>
                <w:color w:val="000000"/>
                <w:sz w:val="16"/>
                <w:szCs w:val="16"/>
              </w:rPr>
              <w:t>telah</w:t>
            </w:r>
            <w:proofErr w:type="spellEnd"/>
            <w:r>
              <w:rPr>
                <w:rFonts w:ascii="Cambria" w:eastAsia="Cambria" w:hAnsi="Cambria" w:cs="Cambria"/>
                <w:color w:val="000000"/>
                <w:sz w:val="16"/>
                <w:szCs w:val="16"/>
              </w:rPr>
              <w:t xml:space="preserve"> </w:t>
            </w:r>
            <w:proofErr w:type="spellStart"/>
            <w:r>
              <w:rPr>
                <w:rFonts w:ascii="Cambria" w:eastAsia="Cambria" w:hAnsi="Cambria" w:cs="Cambria"/>
                <w:color w:val="000000"/>
                <w:sz w:val="16"/>
                <w:szCs w:val="16"/>
              </w:rPr>
              <w:t>didistribusikan</w:t>
            </w:r>
            <w:proofErr w:type="spellEnd"/>
            <w:r>
              <w:rPr>
                <w:rFonts w:ascii="Cambria" w:eastAsia="Cambria" w:hAnsi="Cambria" w:cs="Cambria"/>
                <w:color w:val="000000"/>
                <w:sz w:val="16"/>
                <w:szCs w:val="16"/>
              </w:rPr>
              <w:t xml:space="preserve"> </w:t>
            </w:r>
            <w:proofErr w:type="spellStart"/>
            <w:r>
              <w:rPr>
                <w:rFonts w:ascii="Cambria" w:eastAsia="Cambria" w:hAnsi="Cambria" w:cs="Cambria"/>
                <w:color w:val="000000"/>
                <w:sz w:val="16"/>
                <w:szCs w:val="16"/>
              </w:rPr>
              <w:t>berdasarkan</w:t>
            </w:r>
            <w:proofErr w:type="spellEnd"/>
            <w:r>
              <w:rPr>
                <w:rFonts w:ascii="Cambria" w:eastAsia="Cambria" w:hAnsi="Cambria" w:cs="Cambria"/>
                <w:color w:val="000000"/>
                <w:sz w:val="16"/>
                <w:szCs w:val="16"/>
              </w:rPr>
              <w:t xml:space="preserve"> </w:t>
            </w:r>
            <w:proofErr w:type="spellStart"/>
            <w:r>
              <w:rPr>
                <w:rFonts w:ascii="Cambria" w:eastAsia="Cambria" w:hAnsi="Cambria" w:cs="Cambria"/>
                <w:color w:val="000000"/>
                <w:sz w:val="16"/>
                <w:szCs w:val="16"/>
              </w:rPr>
              <w:t>atas</w:t>
            </w:r>
            <w:proofErr w:type="spellEnd"/>
            <w:r>
              <w:rPr>
                <w:rFonts w:ascii="Cambria" w:eastAsia="Cambria" w:hAnsi="Cambria" w:cs="Cambria"/>
                <w:color w:val="000000"/>
                <w:sz w:val="16"/>
                <w:szCs w:val="16"/>
              </w:rPr>
              <w:t xml:space="preserve"> </w:t>
            </w:r>
            <w:proofErr w:type="spellStart"/>
            <w:r>
              <w:rPr>
                <w:rFonts w:ascii="Cambria" w:eastAsia="Cambria" w:hAnsi="Cambria" w:cs="Cambria"/>
                <w:color w:val="000000"/>
                <w:sz w:val="16"/>
                <w:szCs w:val="16"/>
              </w:rPr>
              <w:t>ketentuan</w:t>
            </w:r>
            <w:proofErr w:type="spellEnd"/>
            <w:r>
              <w:rPr>
                <w:rFonts w:ascii="Cambria" w:eastAsia="Cambria" w:hAnsi="Cambria" w:cs="Cambria"/>
                <w:color w:val="000000"/>
                <w:sz w:val="16"/>
                <w:szCs w:val="16"/>
              </w:rPr>
              <w:t xml:space="preserve"> </w:t>
            </w:r>
            <w:proofErr w:type="spellStart"/>
            <w:r>
              <w:rPr>
                <w:rFonts w:ascii="Cambria" w:eastAsia="Cambria" w:hAnsi="Cambria" w:cs="Cambria"/>
                <w:i/>
                <w:color w:val="000000"/>
                <w:sz w:val="16"/>
                <w:szCs w:val="16"/>
              </w:rPr>
              <w:t>Lisensi</w:t>
            </w:r>
            <w:proofErr w:type="spellEnd"/>
            <w:r>
              <w:rPr>
                <w:rFonts w:ascii="Cambria" w:eastAsia="Cambria" w:hAnsi="Cambria" w:cs="Cambria"/>
                <w:i/>
                <w:color w:val="000000"/>
                <w:sz w:val="16"/>
                <w:szCs w:val="16"/>
              </w:rPr>
              <w:t xml:space="preserve"> </w:t>
            </w:r>
            <w:proofErr w:type="spellStart"/>
            <w:r>
              <w:rPr>
                <w:rFonts w:ascii="Cambria" w:eastAsia="Cambria" w:hAnsi="Cambria" w:cs="Cambria"/>
                <w:i/>
                <w:color w:val="000000"/>
                <w:sz w:val="16"/>
                <w:szCs w:val="16"/>
              </w:rPr>
              <w:t>Internasional</w:t>
            </w:r>
            <w:proofErr w:type="spellEnd"/>
            <w:r>
              <w:rPr>
                <w:rFonts w:ascii="Cambria" w:eastAsia="Cambria" w:hAnsi="Cambria" w:cs="Cambria"/>
                <w:i/>
                <w:color w:val="000000"/>
                <w:sz w:val="16"/>
                <w:szCs w:val="16"/>
              </w:rPr>
              <w:t xml:space="preserve"> Creative Commons Attribution</w:t>
            </w:r>
            <w:r>
              <w:rPr>
                <w:rFonts w:ascii="Cambria" w:eastAsia="Cambria" w:hAnsi="Cambria" w:cs="Cambria"/>
                <w:color w:val="000000"/>
                <w:sz w:val="16"/>
                <w:szCs w:val="16"/>
              </w:rPr>
              <w:t xml:space="preserve"> </w:t>
            </w:r>
            <w:r>
              <w:rPr>
                <w:rFonts w:ascii="Cambria" w:eastAsia="Cambria" w:hAnsi="Cambria" w:cs="Cambria"/>
                <w:i/>
                <w:color w:val="000000"/>
                <w:sz w:val="16"/>
                <w:szCs w:val="16"/>
              </w:rPr>
              <w:t>4.0</w:t>
            </w:r>
            <w:r>
              <w:rPr>
                <w:noProof/>
              </w:rPr>
              <w:drawing>
                <wp:anchor distT="0" distB="0" distL="114300" distR="114300" simplePos="0" relativeHeight="251658240" behindDoc="0" locked="0" layoutInCell="1" hidden="0" allowOverlap="1" wp14:anchorId="59E04F50" wp14:editId="59E04F51">
                  <wp:simplePos x="0" y="0"/>
                  <wp:positionH relativeFrom="column">
                    <wp:posOffset>-67944</wp:posOffset>
                  </wp:positionH>
                  <wp:positionV relativeFrom="paragraph">
                    <wp:posOffset>64770</wp:posOffset>
                  </wp:positionV>
                  <wp:extent cx="821055" cy="291465"/>
                  <wp:effectExtent l="0" t="0" r="0" b="0"/>
                  <wp:wrapSquare wrapText="bothSides" distT="0" distB="0" distL="114300" distR="114300"/>
                  <wp:docPr id="59" name="image1.png" descr="What if? Creative Commons Certification"/>
                  <wp:cNvGraphicFramePr/>
                  <a:graphic xmlns:a="http://schemas.openxmlformats.org/drawingml/2006/main">
                    <a:graphicData uri="http://schemas.openxmlformats.org/drawingml/2006/picture">
                      <pic:pic xmlns:pic="http://schemas.openxmlformats.org/drawingml/2006/picture">
                        <pic:nvPicPr>
                          <pic:cNvPr id="0" name="image1.png" descr="What if? Creative Commons Certification"/>
                          <pic:cNvPicPr preferRelativeResize="0"/>
                        </pic:nvPicPr>
                        <pic:blipFill>
                          <a:blip r:embed="rId14"/>
                          <a:srcRect/>
                          <a:stretch>
                            <a:fillRect/>
                          </a:stretch>
                        </pic:blipFill>
                        <pic:spPr>
                          <a:xfrm>
                            <a:off x="0" y="0"/>
                            <a:ext cx="821055" cy="291465"/>
                          </a:xfrm>
                          <a:prstGeom prst="rect">
                            <a:avLst/>
                          </a:prstGeom>
                          <a:ln/>
                        </pic:spPr>
                      </pic:pic>
                    </a:graphicData>
                  </a:graphic>
                </wp:anchor>
              </w:drawing>
            </w:r>
          </w:p>
          <w:p w14:paraId="59E04EE1" w14:textId="77777777" w:rsidR="00C72575" w:rsidRDefault="00C72575">
            <w:pPr>
              <w:pBdr>
                <w:top w:val="nil"/>
                <w:left w:val="nil"/>
                <w:bottom w:val="nil"/>
                <w:right w:val="nil"/>
                <w:between w:val="nil"/>
              </w:pBdr>
              <w:ind w:left="-111" w:right="-2"/>
              <w:jc w:val="both"/>
              <w:rPr>
                <w:rFonts w:ascii="Cambria" w:eastAsia="Cambria" w:hAnsi="Cambria" w:cs="Cambria"/>
                <w:color w:val="000000"/>
                <w:sz w:val="20"/>
                <w:szCs w:val="20"/>
              </w:rPr>
            </w:pPr>
          </w:p>
        </w:tc>
        <w:tc>
          <w:tcPr>
            <w:tcW w:w="6735" w:type="dxa"/>
            <w:tcBorders>
              <w:top w:val="nil"/>
              <w:left w:val="single" w:sz="24" w:space="0" w:color="A6A6A6"/>
              <w:bottom w:val="nil"/>
              <w:right w:val="nil"/>
            </w:tcBorders>
          </w:tcPr>
          <w:p w14:paraId="59E04EE2" w14:textId="77777777" w:rsidR="00C72575" w:rsidRPr="00134371" w:rsidRDefault="00FA4AE5">
            <w:pPr>
              <w:pStyle w:val="Heading1"/>
              <w:shd w:val="clear" w:color="auto" w:fill="F2F2F2"/>
              <w:spacing w:before="0" w:after="120"/>
              <w:ind w:left="96" w:right="-116"/>
              <w:outlineLvl w:val="0"/>
              <w:rPr>
                <w:rFonts w:ascii="Cambria" w:eastAsia="Cambria" w:hAnsi="Cambria" w:cs="Cambria"/>
                <w:b/>
                <w:color w:val="000000"/>
                <w:sz w:val="28"/>
                <w:szCs w:val="28"/>
              </w:rPr>
            </w:pPr>
            <w:bookmarkStart w:id="3" w:name="_Hlk97068708"/>
            <w:commentRangeStart w:id="4"/>
            <w:r w:rsidRPr="00134371">
              <w:rPr>
                <w:rFonts w:ascii="Cambria" w:eastAsia="Cambria" w:hAnsi="Cambria" w:cs="Cambria"/>
                <w:b/>
                <w:color w:val="000000"/>
                <w:sz w:val="28"/>
                <w:szCs w:val="28"/>
              </w:rPr>
              <w:t>Abstract</w:t>
            </w:r>
            <w:commentRangeEnd w:id="4"/>
            <w:r w:rsidR="005259FA">
              <w:rPr>
                <w:rStyle w:val="CommentReference"/>
                <w:rFonts w:ascii="Calibri" w:eastAsia="Calibri" w:hAnsi="Calibri" w:cs="Calibri"/>
                <w:color w:val="auto"/>
              </w:rPr>
              <w:commentReference w:id="4"/>
            </w:r>
          </w:p>
          <w:p w14:paraId="45A4F1D6" w14:textId="5B075211" w:rsidR="00C72971" w:rsidRPr="00FE7A42" w:rsidRDefault="00C72971" w:rsidP="00C729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202124"/>
                <w:sz w:val="20"/>
                <w:szCs w:val="20"/>
                <w:lang w:val="en"/>
              </w:rPr>
            </w:pPr>
            <w:r w:rsidRPr="00C72971">
              <w:rPr>
                <w:rFonts w:ascii="Cambria" w:eastAsia="Times New Roman" w:hAnsi="Cambria" w:cs="Courier New"/>
                <w:color w:val="202124"/>
                <w:sz w:val="20"/>
                <w:szCs w:val="20"/>
                <w:lang w:val="en"/>
              </w:rPr>
              <w:t xml:space="preserve">Nutritional intake is one of the potential strategies in </w:t>
            </w:r>
            <w:r w:rsidR="009015AF" w:rsidRPr="00134371">
              <w:rPr>
                <w:rFonts w:ascii="Cambria" w:eastAsia="Times New Roman" w:hAnsi="Cambria" w:cs="Courier New"/>
                <w:color w:val="202124"/>
                <w:sz w:val="20"/>
                <w:szCs w:val="20"/>
                <w:lang w:val="en"/>
              </w:rPr>
              <w:t>to prevent</w:t>
            </w:r>
            <w:r w:rsidRPr="00C72971">
              <w:rPr>
                <w:rFonts w:ascii="Cambria" w:eastAsia="Times New Roman" w:hAnsi="Cambria" w:cs="Courier New"/>
                <w:color w:val="202124"/>
                <w:sz w:val="20"/>
                <w:szCs w:val="20"/>
                <w:lang w:val="en"/>
              </w:rPr>
              <w:t xml:space="preserve"> COVID-19 infection. Nutrients needed to optimize the immune system </w:t>
            </w:r>
            <w:r w:rsidR="009015AF" w:rsidRPr="00134371">
              <w:rPr>
                <w:rFonts w:ascii="Cambria" w:eastAsia="Times New Roman" w:hAnsi="Cambria" w:cs="Courier New"/>
                <w:color w:val="202124"/>
                <w:sz w:val="20"/>
                <w:szCs w:val="20"/>
                <w:lang w:val="en"/>
              </w:rPr>
              <w:t xml:space="preserve">are </w:t>
            </w:r>
            <w:r w:rsidRPr="00C72971">
              <w:rPr>
                <w:rFonts w:ascii="Cambria" w:eastAsia="Times New Roman" w:hAnsi="Cambria" w:cs="Courier New"/>
                <w:color w:val="202124"/>
                <w:sz w:val="20"/>
                <w:szCs w:val="20"/>
                <w:lang w:val="en"/>
              </w:rPr>
              <w:t>macronutrients</w:t>
            </w:r>
            <w:r w:rsidR="009015AF" w:rsidRPr="00134371">
              <w:rPr>
                <w:rFonts w:ascii="Cambria" w:eastAsia="Times New Roman" w:hAnsi="Cambria" w:cs="Courier New"/>
                <w:color w:val="202124"/>
                <w:sz w:val="20"/>
                <w:szCs w:val="20"/>
                <w:lang w:val="en"/>
              </w:rPr>
              <w:t xml:space="preserve">, </w:t>
            </w:r>
            <w:r w:rsidRPr="00C72971">
              <w:rPr>
                <w:rFonts w:ascii="Cambria" w:eastAsia="Times New Roman" w:hAnsi="Cambria" w:cs="Courier New"/>
                <w:color w:val="202124"/>
                <w:sz w:val="20"/>
                <w:szCs w:val="20"/>
                <w:lang w:val="en"/>
              </w:rPr>
              <w:t>vitamins</w:t>
            </w:r>
            <w:r w:rsidR="00646401">
              <w:rPr>
                <w:rFonts w:ascii="Cambria" w:eastAsia="Times New Roman" w:hAnsi="Cambria" w:cs="Courier New"/>
                <w:color w:val="202124"/>
                <w:sz w:val="20"/>
                <w:szCs w:val="20"/>
                <w:lang w:val="en"/>
              </w:rPr>
              <w:t xml:space="preserve">, </w:t>
            </w:r>
            <w:r w:rsidRPr="00C72971">
              <w:rPr>
                <w:rFonts w:ascii="Cambria" w:eastAsia="Times New Roman" w:hAnsi="Cambria" w:cs="Courier New"/>
                <w:color w:val="202124"/>
                <w:sz w:val="20"/>
                <w:szCs w:val="20"/>
                <w:lang w:val="en"/>
              </w:rPr>
              <w:t>minerals</w:t>
            </w:r>
            <w:r w:rsidR="00646401">
              <w:rPr>
                <w:rFonts w:ascii="Cambria" w:eastAsia="Times New Roman" w:hAnsi="Cambria" w:cs="Courier New"/>
                <w:color w:val="202124"/>
                <w:sz w:val="20"/>
                <w:szCs w:val="20"/>
                <w:lang w:val="en"/>
              </w:rPr>
              <w:t xml:space="preserve">, </w:t>
            </w:r>
            <w:r w:rsidRPr="00C72971">
              <w:rPr>
                <w:rFonts w:ascii="Cambria" w:eastAsia="Times New Roman" w:hAnsi="Cambria" w:cs="Courier New"/>
                <w:color w:val="202124"/>
                <w:sz w:val="20"/>
                <w:szCs w:val="20"/>
                <w:lang w:val="en"/>
              </w:rPr>
              <w:t xml:space="preserve">and </w:t>
            </w:r>
            <w:r w:rsidR="009015AF" w:rsidRPr="00134371">
              <w:rPr>
                <w:rFonts w:ascii="Cambria" w:eastAsia="Times New Roman" w:hAnsi="Cambria" w:cs="Courier New"/>
                <w:color w:val="202124"/>
                <w:sz w:val="20"/>
                <w:szCs w:val="20"/>
                <w:lang w:val="en"/>
              </w:rPr>
              <w:t xml:space="preserve">also </w:t>
            </w:r>
            <w:r w:rsidRPr="00C72971">
              <w:rPr>
                <w:rFonts w:ascii="Cambria" w:eastAsia="Times New Roman" w:hAnsi="Cambria" w:cs="Courier New"/>
                <w:color w:val="202124"/>
                <w:sz w:val="20"/>
                <w:szCs w:val="20"/>
                <w:lang w:val="en"/>
              </w:rPr>
              <w:t xml:space="preserve">antioxidants. </w:t>
            </w:r>
            <w:r w:rsidR="00646401">
              <w:rPr>
                <w:rFonts w:ascii="Cambria" w:eastAsia="Times New Roman" w:hAnsi="Cambria" w:cs="Courier New"/>
                <w:color w:val="202124"/>
                <w:sz w:val="20"/>
                <w:szCs w:val="20"/>
                <w:lang w:val="en"/>
              </w:rPr>
              <w:t xml:space="preserve">The aimed of the research was to determine the selected biscuit product as an alternative food to prevent Covid-19 infection. </w:t>
            </w:r>
            <w:r w:rsidRPr="00C72971">
              <w:rPr>
                <w:rFonts w:ascii="Cambria" w:eastAsia="Times New Roman" w:hAnsi="Cambria" w:cs="Courier New"/>
                <w:color w:val="202124"/>
                <w:sz w:val="20"/>
                <w:szCs w:val="20"/>
                <w:lang w:val="en"/>
              </w:rPr>
              <w:t>The research was carried out in August 2021</w:t>
            </w:r>
            <w:r w:rsidR="009015AF" w:rsidRPr="00134371">
              <w:rPr>
                <w:rFonts w:ascii="Cambria" w:eastAsia="Times New Roman" w:hAnsi="Cambria" w:cs="Courier New"/>
                <w:color w:val="202124"/>
                <w:sz w:val="20"/>
                <w:szCs w:val="20"/>
                <w:lang w:val="en"/>
              </w:rPr>
              <w:t xml:space="preserve"> until </w:t>
            </w:r>
            <w:r w:rsidRPr="00C72971">
              <w:rPr>
                <w:rFonts w:ascii="Cambria" w:eastAsia="Times New Roman" w:hAnsi="Cambria" w:cs="Courier New"/>
                <w:color w:val="202124"/>
                <w:sz w:val="20"/>
                <w:szCs w:val="20"/>
                <w:lang w:val="en"/>
              </w:rPr>
              <w:t>January 2022. The research design was an experiment</w:t>
            </w:r>
            <w:r w:rsidR="000747D2">
              <w:rPr>
                <w:rFonts w:ascii="Cambria" w:eastAsia="Times New Roman" w:hAnsi="Cambria" w:cs="Courier New"/>
                <w:color w:val="202124"/>
                <w:sz w:val="20"/>
                <w:szCs w:val="20"/>
                <w:lang w:val="en"/>
              </w:rPr>
              <w:t>al</w:t>
            </w:r>
            <w:r w:rsidRPr="00C72971">
              <w:rPr>
                <w:rFonts w:ascii="Cambria" w:eastAsia="Times New Roman" w:hAnsi="Cambria" w:cs="Courier New"/>
                <w:color w:val="202124"/>
                <w:sz w:val="20"/>
                <w:szCs w:val="20"/>
                <w:lang w:val="en"/>
              </w:rPr>
              <w:t xml:space="preserve"> using a Completely Randomized Design (CRD). </w:t>
            </w:r>
            <w:r w:rsidR="003165E6">
              <w:rPr>
                <w:rFonts w:ascii="Cambria" w:eastAsia="Times New Roman" w:hAnsi="Cambria" w:cs="Courier New"/>
                <w:color w:val="202124"/>
                <w:sz w:val="20"/>
                <w:szCs w:val="20"/>
                <w:lang w:val="en"/>
              </w:rPr>
              <w:t>Biscuit</w:t>
            </w:r>
            <w:r w:rsidRPr="00C72971">
              <w:rPr>
                <w:rFonts w:ascii="Cambria" w:eastAsia="Times New Roman" w:hAnsi="Cambria" w:cs="Courier New"/>
                <w:color w:val="202124"/>
                <w:sz w:val="20"/>
                <w:szCs w:val="20"/>
                <w:lang w:val="en"/>
              </w:rPr>
              <w:t xml:space="preserve"> formulation by mixing different levels of sweet potato flour (0%, 25%, 50%, 75%, 100%) and </w:t>
            </w:r>
            <w:r w:rsidR="000747D2">
              <w:rPr>
                <w:rFonts w:ascii="Cambria" w:eastAsia="Times New Roman" w:hAnsi="Cambria" w:cs="Courier New"/>
                <w:color w:val="202124"/>
                <w:sz w:val="20"/>
                <w:szCs w:val="20"/>
                <w:lang w:val="en"/>
              </w:rPr>
              <w:t>spices</w:t>
            </w:r>
            <w:r w:rsidRPr="00C72971">
              <w:rPr>
                <w:rFonts w:ascii="Cambria" w:eastAsia="Times New Roman" w:hAnsi="Cambria" w:cs="Courier New"/>
                <w:color w:val="202124"/>
                <w:sz w:val="20"/>
                <w:szCs w:val="20"/>
                <w:lang w:val="en"/>
              </w:rPr>
              <w:t xml:space="preserve"> (ginger, cinnamon, turmeric, </w:t>
            </w:r>
            <w:proofErr w:type="spellStart"/>
            <w:r w:rsidRPr="00C72971">
              <w:rPr>
                <w:rFonts w:ascii="Cambria" w:eastAsia="Times New Roman" w:hAnsi="Cambria" w:cs="Courier New"/>
                <w:color w:val="202124"/>
                <w:sz w:val="20"/>
                <w:szCs w:val="20"/>
                <w:lang w:val="en"/>
              </w:rPr>
              <w:t>kencur</w:t>
            </w:r>
            <w:proofErr w:type="spellEnd"/>
            <w:r w:rsidRPr="00C72971">
              <w:rPr>
                <w:rFonts w:ascii="Cambria" w:eastAsia="Times New Roman" w:hAnsi="Cambria" w:cs="Courier New"/>
                <w:color w:val="202124"/>
                <w:sz w:val="20"/>
                <w:szCs w:val="20"/>
                <w:lang w:val="en"/>
              </w:rPr>
              <w:t xml:space="preserve">, lemongrass, </w:t>
            </w:r>
            <w:proofErr w:type="spellStart"/>
            <w:r w:rsidRPr="00C72971">
              <w:rPr>
                <w:rFonts w:ascii="Cambria" w:eastAsia="Times New Roman" w:hAnsi="Cambria" w:cs="Courier New"/>
                <w:color w:val="202124"/>
                <w:sz w:val="20"/>
                <w:szCs w:val="20"/>
                <w:lang w:val="en"/>
              </w:rPr>
              <w:t>temulawak</w:t>
            </w:r>
            <w:proofErr w:type="spellEnd"/>
            <w:r w:rsidRPr="00C72971">
              <w:rPr>
                <w:rFonts w:ascii="Cambria" w:eastAsia="Times New Roman" w:hAnsi="Cambria" w:cs="Courier New"/>
                <w:color w:val="202124"/>
                <w:sz w:val="20"/>
                <w:szCs w:val="20"/>
                <w:lang w:val="en"/>
              </w:rPr>
              <w:t xml:space="preserve"> and cloves) in powder form with an amount of the same one. </w:t>
            </w:r>
            <w:r w:rsidR="001857BD">
              <w:rPr>
                <w:rFonts w:ascii="Cambria" w:eastAsia="Times New Roman" w:hAnsi="Cambria" w:cs="Courier New"/>
                <w:color w:val="202124"/>
                <w:sz w:val="20"/>
                <w:szCs w:val="20"/>
                <w:lang w:val="en"/>
              </w:rPr>
              <w:t>Sensory test was performed on 30 semi-trained panelists</w:t>
            </w:r>
            <w:r w:rsidR="00DA177B">
              <w:rPr>
                <w:rFonts w:ascii="Cambria" w:eastAsia="Times New Roman" w:hAnsi="Cambria" w:cs="Courier New"/>
                <w:color w:val="202124"/>
                <w:sz w:val="20"/>
                <w:szCs w:val="20"/>
                <w:lang w:val="en"/>
              </w:rPr>
              <w:t xml:space="preserve"> and data</w:t>
            </w:r>
            <w:r w:rsidRPr="00C72971">
              <w:rPr>
                <w:rFonts w:ascii="Cambria" w:eastAsia="Times New Roman" w:hAnsi="Cambria" w:cs="Courier New"/>
                <w:color w:val="202124"/>
                <w:sz w:val="20"/>
                <w:szCs w:val="20"/>
                <w:lang w:val="en"/>
              </w:rPr>
              <w:t xml:space="preserve"> were analyzed using ANOVA. Proximate analysis </w:t>
            </w:r>
            <w:r w:rsidR="00750208">
              <w:rPr>
                <w:rFonts w:ascii="Cambria" w:eastAsia="Times New Roman" w:hAnsi="Cambria" w:cs="Courier New"/>
                <w:color w:val="202124"/>
                <w:sz w:val="20"/>
                <w:szCs w:val="20"/>
                <w:lang w:val="en"/>
              </w:rPr>
              <w:t>and antioxidant analysis</w:t>
            </w:r>
            <w:r w:rsidR="0062028A">
              <w:rPr>
                <w:rFonts w:ascii="Cambria" w:eastAsia="Times New Roman" w:hAnsi="Cambria" w:cs="Courier New"/>
                <w:color w:val="202124"/>
                <w:sz w:val="20"/>
                <w:szCs w:val="20"/>
                <w:lang w:val="en"/>
              </w:rPr>
              <w:t xml:space="preserve"> </w:t>
            </w:r>
            <w:r w:rsidRPr="00C72971">
              <w:rPr>
                <w:rFonts w:ascii="Cambria" w:eastAsia="Times New Roman" w:hAnsi="Cambria" w:cs="Courier New"/>
                <w:color w:val="202124"/>
                <w:sz w:val="20"/>
                <w:szCs w:val="20"/>
                <w:lang w:val="en"/>
              </w:rPr>
              <w:t xml:space="preserve">using the AOAC method. </w:t>
            </w:r>
            <w:r w:rsidR="0062028A">
              <w:rPr>
                <w:rFonts w:ascii="Cambria" w:eastAsia="Times New Roman" w:hAnsi="Cambria" w:cs="Courier New"/>
                <w:color w:val="202124"/>
                <w:sz w:val="20"/>
                <w:szCs w:val="20"/>
                <w:lang w:val="en"/>
              </w:rPr>
              <w:t xml:space="preserve">And </w:t>
            </w:r>
            <w:r w:rsidRPr="00C72971">
              <w:rPr>
                <w:rFonts w:ascii="Cambria" w:eastAsia="Times New Roman" w:hAnsi="Cambria" w:cs="Courier New"/>
                <w:color w:val="202124"/>
                <w:sz w:val="20"/>
                <w:szCs w:val="20"/>
                <w:lang w:val="en"/>
              </w:rPr>
              <w:t xml:space="preserve">DPPH method. The </w:t>
            </w:r>
            <w:r w:rsidR="001857BD">
              <w:rPr>
                <w:rFonts w:ascii="Cambria" w:eastAsia="Times New Roman" w:hAnsi="Cambria" w:cs="Courier New"/>
                <w:color w:val="202124"/>
                <w:sz w:val="20"/>
                <w:szCs w:val="20"/>
                <w:lang w:val="en"/>
              </w:rPr>
              <w:t xml:space="preserve">result was </w:t>
            </w:r>
            <w:r w:rsidR="0063512D" w:rsidRPr="00134371">
              <w:rPr>
                <w:rFonts w:ascii="Cambria" w:eastAsia="Times New Roman" w:hAnsi="Cambria" w:cs="Courier New"/>
                <w:color w:val="202124"/>
                <w:sz w:val="20"/>
                <w:szCs w:val="20"/>
                <w:lang w:val="en"/>
              </w:rPr>
              <w:t>bis</w:t>
            </w:r>
            <w:r w:rsidR="000747D2">
              <w:rPr>
                <w:rFonts w:ascii="Cambria" w:eastAsia="Times New Roman" w:hAnsi="Cambria" w:cs="Courier New"/>
                <w:color w:val="202124"/>
                <w:sz w:val="20"/>
                <w:szCs w:val="20"/>
                <w:lang w:val="en"/>
              </w:rPr>
              <w:t>c</w:t>
            </w:r>
            <w:r w:rsidR="0063512D" w:rsidRPr="00134371">
              <w:rPr>
                <w:rFonts w:ascii="Cambria" w:eastAsia="Times New Roman" w:hAnsi="Cambria" w:cs="Courier New"/>
                <w:color w:val="202124"/>
                <w:sz w:val="20"/>
                <w:szCs w:val="20"/>
                <w:lang w:val="en"/>
              </w:rPr>
              <w:t>uit</w:t>
            </w:r>
            <w:r w:rsidR="009015AF" w:rsidRPr="00134371">
              <w:rPr>
                <w:rFonts w:ascii="Cambria" w:eastAsia="Times New Roman" w:hAnsi="Cambria" w:cs="Courier New"/>
                <w:color w:val="202124"/>
                <w:sz w:val="20"/>
                <w:szCs w:val="20"/>
                <w:lang w:val="en"/>
              </w:rPr>
              <w:t xml:space="preserve"> formula which</w:t>
            </w:r>
            <w:r w:rsidRPr="00C72971">
              <w:rPr>
                <w:rFonts w:ascii="Cambria" w:eastAsia="Times New Roman" w:hAnsi="Cambria" w:cs="Courier New"/>
                <w:color w:val="202124"/>
                <w:sz w:val="20"/>
                <w:szCs w:val="20"/>
                <w:lang w:val="en"/>
              </w:rPr>
              <w:t xml:space="preserve"> selected was F</w:t>
            </w:r>
            <w:r w:rsidR="008C7F7E" w:rsidRPr="00134371">
              <w:rPr>
                <w:rFonts w:ascii="Cambria" w:eastAsia="Times New Roman" w:hAnsi="Cambria" w:cs="Courier New"/>
                <w:color w:val="202124"/>
                <w:sz w:val="20"/>
                <w:szCs w:val="20"/>
                <w:lang w:val="en"/>
              </w:rPr>
              <w:t>2</w:t>
            </w:r>
            <w:r w:rsidRPr="00C72971">
              <w:rPr>
                <w:rFonts w:ascii="Cambria" w:eastAsia="Times New Roman" w:hAnsi="Cambria" w:cs="Courier New"/>
                <w:color w:val="202124"/>
                <w:sz w:val="20"/>
                <w:szCs w:val="20"/>
                <w:lang w:val="en"/>
              </w:rPr>
              <w:t xml:space="preserve"> with a mixture of </w:t>
            </w:r>
            <w:r w:rsidR="008C7F7E" w:rsidRPr="00134371">
              <w:rPr>
                <w:rFonts w:ascii="Cambria" w:eastAsia="Times New Roman" w:hAnsi="Cambria" w:cs="Courier New"/>
                <w:color w:val="202124"/>
                <w:sz w:val="20"/>
                <w:szCs w:val="20"/>
                <w:lang w:val="en"/>
              </w:rPr>
              <w:t>50</w:t>
            </w:r>
            <w:r w:rsidRPr="00C72971">
              <w:rPr>
                <w:rFonts w:ascii="Cambria" w:eastAsia="Times New Roman" w:hAnsi="Cambria" w:cs="Courier New"/>
                <w:color w:val="202124"/>
                <w:sz w:val="20"/>
                <w:szCs w:val="20"/>
                <w:lang w:val="en"/>
              </w:rPr>
              <w:t xml:space="preserve">% </w:t>
            </w:r>
            <w:r w:rsidR="009015AF" w:rsidRPr="00134371">
              <w:rPr>
                <w:rFonts w:ascii="Cambria" w:eastAsia="Times New Roman" w:hAnsi="Cambria" w:cs="Courier New"/>
                <w:color w:val="202124"/>
                <w:sz w:val="20"/>
                <w:szCs w:val="20"/>
                <w:lang w:val="en"/>
              </w:rPr>
              <w:t>sweet potato floor</w:t>
            </w:r>
            <w:r w:rsidR="00120AA0">
              <w:rPr>
                <w:rFonts w:ascii="Cambria" w:eastAsia="Times New Roman" w:hAnsi="Cambria" w:cs="Courier New"/>
                <w:color w:val="202124"/>
                <w:sz w:val="20"/>
                <w:szCs w:val="20"/>
                <w:lang w:val="en"/>
              </w:rPr>
              <w:t xml:space="preserve">. </w:t>
            </w:r>
            <w:r w:rsidR="00750208" w:rsidRPr="00737012">
              <w:rPr>
                <w:rFonts w:ascii="Cambria" w:eastAsia="Times New Roman" w:hAnsi="Cambria" w:cs="Courier New"/>
                <w:color w:val="202124"/>
                <w:sz w:val="20"/>
                <w:szCs w:val="20"/>
                <w:lang w:val="en"/>
              </w:rPr>
              <w:t xml:space="preserve">ANOVA test result </w:t>
            </w:r>
            <w:r w:rsidR="00737012" w:rsidRPr="00FE7A42">
              <w:rPr>
                <w:rFonts w:ascii="Cambria" w:eastAsia="Times New Roman" w:hAnsi="Cambria" w:cs="Courier New"/>
                <w:color w:val="202124"/>
                <w:sz w:val="20"/>
                <w:szCs w:val="20"/>
                <w:lang w:val="en"/>
              </w:rPr>
              <w:t xml:space="preserve">on the hedonic test </w:t>
            </w:r>
            <w:r w:rsidR="00750208" w:rsidRPr="00737012">
              <w:rPr>
                <w:rFonts w:ascii="Cambria" w:eastAsia="Times New Roman" w:hAnsi="Cambria" w:cs="Courier New"/>
                <w:color w:val="202124"/>
                <w:sz w:val="20"/>
                <w:szCs w:val="20"/>
                <w:lang w:val="en"/>
              </w:rPr>
              <w:t>showed that</w:t>
            </w:r>
            <w:r w:rsidR="00737012" w:rsidRPr="00737012">
              <w:rPr>
                <w:rFonts w:ascii="Cambria" w:eastAsia="Times New Roman" w:hAnsi="Cambria" w:cs="Courier New"/>
                <w:color w:val="202124"/>
                <w:sz w:val="20"/>
                <w:szCs w:val="20"/>
                <w:lang w:val="en"/>
              </w:rPr>
              <w:t xml:space="preserve"> there were significant differences in the color, taste, texture, and aftertaste on biscuits (p&lt;0.05). </w:t>
            </w:r>
            <w:r w:rsidRPr="00737012">
              <w:rPr>
                <w:rFonts w:ascii="Cambria" w:eastAsia="Times New Roman" w:hAnsi="Cambria" w:cs="Courier New"/>
                <w:color w:val="202124"/>
                <w:sz w:val="20"/>
                <w:szCs w:val="20"/>
                <w:lang w:val="en"/>
              </w:rPr>
              <w:t>F</w:t>
            </w:r>
            <w:r w:rsidR="008C7F7E" w:rsidRPr="00737012">
              <w:rPr>
                <w:rFonts w:ascii="Cambria" w:eastAsia="Times New Roman" w:hAnsi="Cambria" w:cs="Courier New"/>
                <w:color w:val="202124"/>
                <w:sz w:val="20"/>
                <w:szCs w:val="20"/>
                <w:lang w:val="en"/>
              </w:rPr>
              <w:t>2</w:t>
            </w:r>
            <w:r w:rsidRPr="00737012">
              <w:rPr>
                <w:rFonts w:ascii="Cambria" w:eastAsia="Times New Roman" w:hAnsi="Cambria" w:cs="Courier New"/>
                <w:color w:val="202124"/>
                <w:sz w:val="20"/>
                <w:szCs w:val="20"/>
                <w:lang w:val="en"/>
              </w:rPr>
              <w:t xml:space="preserve"> is the formula chosen by the panelists which has a high antioxidant content </w:t>
            </w:r>
            <w:r w:rsidR="00196DC5">
              <w:rPr>
                <w:rFonts w:ascii="Cambria" w:hAnsi="Cambria"/>
                <w:sz w:val="20"/>
                <w:szCs w:val="20"/>
              </w:rPr>
              <w:t xml:space="preserve">(1374.8 mg/100g) </w:t>
            </w:r>
            <w:r w:rsidRPr="00737012">
              <w:rPr>
                <w:rFonts w:ascii="Cambria" w:eastAsia="Times New Roman" w:hAnsi="Cambria" w:cs="Courier New"/>
                <w:color w:val="202124"/>
                <w:sz w:val="20"/>
                <w:szCs w:val="20"/>
                <w:lang w:val="en"/>
              </w:rPr>
              <w:t>and</w:t>
            </w:r>
            <w:r w:rsidRPr="00C72971">
              <w:rPr>
                <w:rFonts w:ascii="Cambria" w:eastAsia="Times New Roman" w:hAnsi="Cambria" w:cs="Courier New"/>
                <w:color w:val="202124"/>
                <w:sz w:val="20"/>
                <w:szCs w:val="20"/>
                <w:lang w:val="en"/>
              </w:rPr>
              <w:t xml:space="preserve"> meets SNI </w:t>
            </w:r>
            <w:r w:rsidR="0063512D" w:rsidRPr="00134371">
              <w:rPr>
                <w:rFonts w:ascii="Cambria" w:eastAsia="Times New Roman" w:hAnsi="Cambria" w:cs="Courier New"/>
                <w:color w:val="202124"/>
                <w:sz w:val="20"/>
                <w:szCs w:val="20"/>
                <w:lang w:val="en"/>
              </w:rPr>
              <w:t>bis</w:t>
            </w:r>
            <w:r w:rsidR="00750208">
              <w:rPr>
                <w:rFonts w:ascii="Cambria" w:eastAsia="Times New Roman" w:hAnsi="Cambria" w:cs="Courier New"/>
                <w:color w:val="202124"/>
                <w:sz w:val="20"/>
                <w:szCs w:val="20"/>
                <w:lang w:val="en"/>
              </w:rPr>
              <w:t>c</w:t>
            </w:r>
            <w:r w:rsidR="0063512D" w:rsidRPr="00134371">
              <w:rPr>
                <w:rFonts w:ascii="Cambria" w:eastAsia="Times New Roman" w:hAnsi="Cambria" w:cs="Courier New"/>
                <w:color w:val="202124"/>
                <w:sz w:val="20"/>
                <w:szCs w:val="20"/>
                <w:lang w:val="en"/>
              </w:rPr>
              <w:t>uit</w:t>
            </w:r>
            <w:r w:rsidRPr="00C72971">
              <w:rPr>
                <w:rFonts w:ascii="Cambria" w:eastAsia="Times New Roman" w:hAnsi="Cambria" w:cs="Courier New"/>
                <w:color w:val="202124"/>
                <w:sz w:val="20"/>
                <w:szCs w:val="20"/>
                <w:lang w:val="en"/>
              </w:rPr>
              <w:t>s (2011)</w:t>
            </w:r>
            <w:r w:rsidR="00120AA0">
              <w:rPr>
                <w:rFonts w:ascii="Cambria" w:eastAsia="Times New Roman" w:hAnsi="Cambria" w:cs="Courier New"/>
                <w:color w:val="202124"/>
                <w:sz w:val="20"/>
                <w:szCs w:val="20"/>
                <w:lang w:val="en"/>
              </w:rPr>
              <w:t>. The biscuit has the potential to be developed as an alternative functional food to prevent Covid-19 infection</w:t>
            </w:r>
          </w:p>
          <w:p w14:paraId="59E04EE4" w14:textId="5EE92834" w:rsidR="00C72575" w:rsidRPr="00134371" w:rsidRDefault="00FA4AE5" w:rsidP="00C72971">
            <w:pPr>
              <w:pBdr>
                <w:top w:val="nil"/>
                <w:left w:val="nil"/>
                <w:bottom w:val="nil"/>
                <w:right w:val="nil"/>
                <w:between w:val="nil"/>
              </w:pBdr>
              <w:shd w:val="clear" w:color="auto" w:fill="F2F2F2"/>
              <w:ind w:right="-115"/>
              <w:jc w:val="both"/>
              <w:rPr>
                <w:rFonts w:ascii="Cambria" w:eastAsia="Cambria" w:hAnsi="Cambria" w:cs="Cambria"/>
                <w:color w:val="000000"/>
                <w:sz w:val="20"/>
                <w:szCs w:val="20"/>
              </w:rPr>
            </w:pPr>
            <w:r w:rsidRPr="00134371">
              <w:rPr>
                <w:rFonts w:ascii="Cambria" w:eastAsia="Cambria" w:hAnsi="Cambria" w:cs="Cambria"/>
                <w:b/>
                <w:color w:val="000000"/>
                <w:sz w:val="20"/>
                <w:szCs w:val="20"/>
              </w:rPr>
              <w:t xml:space="preserve">Keywords: </w:t>
            </w:r>
            <w:r w:rsidR="009015AF" w:rsidRPr="00134371">
              <w:rPr>
                <w:rFonts w:ascii="Cambria" w:eastAsia="Cambria" w:hAnsi="Cambria" w:cs="Cambria"/>
                <w:color w:val="000000"/>
                <w:sz w:val="20"/>
                <w:szCs w:val="20"/>
              </w:rPr>
              <w:t xml:space="preserve">Antioxidant, </w:t>
            </w:r>
            <w:r w:rsidR="0063512D" w:rsidRPr="00134371">
              <w:rPr>
                <w:rFonts w:ascii="Cambria" w:eastAsia="Cambria" w:hAnsi="Cambria" w:cs="Cambria"/>
                <w:color w:val="000000"/>
                <w:sz w:val="20"/>
                <w:szCs w:val="20"/>
              </w:rPr>
              <w:t>Bis</w:t>
            </w:r>
            <w:r w:rsidR="000747D2">
              <w:rPr>
                <w:rFonts w:ascii="Cambria" w:eastAsia="Cambria" w:hAnsi="Cambria" w:cs="Cambria"/>
                <w:color w:val="000000"/>
                <w:sz w:val="20"/>
                <w:szCs w:val="20"/>
              </w:rPr>
              <w:t>c</w:t>
            </w:r>
            <w:r w:rsidR="0063512D" w:rsidRPr="00134371">
              <w:rPr>
                <w:rFonts w:ascii="Cambria" w:eastAsia="Cambria" w:hAnsi="Cambria" w:cs="Cambria"/>
                <w:color w:val="000000"/>
                <w:sz w:val="20"/>
                <w:szCs w:val="20"/>
              </w:rPr>
              <w:t>uit</w:t>
            </w:r>
            <w:r w:rsidR="009015AF" w:rsidRPr="00134371">
              <w:rPr>
                <w:rFonts w:ascii="Cambria" w:eastAsia="Cambria" w:hAnsi="Cambria" w:cs="Cambria"/>
                <w:color w:val="000000"/>
                <w:sz w:val="20"/>
                <w:szCs w:val="20"/>
              </w:rPr>
              <w:t>, Functional food</w:t>
            </w:r>
            <w:r w:rsidR="003165E6">
              <w:rPr>
                <w:rFonts w:ascii="Cambria" w:eastAsia="Cambria" w:hAnsi="Cambria" w:cs="Cambria"/>
                <w:color w:val="000000"/>
                <w:sz w:val="20"/>
                <w:szCs w:val="20"/>
              </w:rPr>
              <w:t>, spices</w:t>
            </w:r>
            <w:r w:rsidR="002A402E">
              <w:rPr>
                <w:rFonts w:ascii="Cambria" w:eastAsia="Cambria" w:hAnsi="Cambria" w:cs="Cambria"/>
                <w:color w:val="000000"/>
                <w:sz w:val="20"/>
                <w:szCs w:val="20"/>
              </w:rPr>
              <w:t>, covid-19</w:t>
            </w:r>
          </w:p>
          <w:p w14:paraId="59E04EE5" w14:textId="77777777" w:rsidR="00C72575" w:rsidRPr="00134371" w:rsidRDefault="00C72575">
            <w:pPr>
              <w:pBdr>
                <w:top w:val="nil"/>
                <w:left w:val="nil"/>
                <w:bottom w:val="nil"/>
                <w:right w:val="nil"/>
                <w:between w:val="nil"/>
              </w:pBdr>
              <w:shd w:val="clear" w:color="auto" w:fill="F2F2F2"/>
              <w:ind w:left="96" w:right="-115"/>
              <w:rPr>
                <w:rFonts w:ascii="Cambria" w:eastAsia="Cambria" w:hAnsi="Cambria" w:cs="Cambria"/>
                <w:color w:val="000000"/>
                <w:sz w:val="26"/>
                <w:szCs w:val="26"/>
              </w:rPr>
            </w:pPr>
          </w:p>
          <w:p w14:paraId="59E04EE6" w14:textId="77777777" w:rsidR="00C72575" w:rsidRPr="00134371" w:rsidRDefault="00FA4AE5">
            <w:pPr>
              <w:pStyle w:val="Heading1"/>
              <w:shd w:val="clear" w:color="auto" w:fill="F2F2F2"/>
              <w:spacing w:before="0" w:after="120"/>
              <w:ind w:left="96" w:right="-115"/>
              <w:outlineLvl w:val="0"/>
              <w:rPr>
                <w:rFonts w:ascii="Cambria" w:eastAsia="Cambria" w:hAnsi="Cambria" w:cs="Cambria"/>
                <w:b/>
                <w:color w:val="000000"/>
                <w:sz w:val="28"/>
                <w:szCs w:val="28"/>
              </w:rPr>
            </w:pPr>
            <w:proofErr w:type="spellStart"/>
            <w:r w:rsidRPr="00134371">
              <w:rPr>
                <w:rFonts w:ascii="Cambria" w:eastAsia="Cambria" w:hAnsi="Cambria" w:cs="Cambria"/>
                <w:b/>
                <w:color w:val="000000"/>
                <w:sz w:val="28"/>
                <w:szCs w:val="28"/>
              </w:rPr>
              <w:t>Abstrak</w:t>
            </w:r>
            <w:proofErr w:type="spellEnd"/>
          </w:p>
          <w:p w14:paraId="310C768B" w14:textId="04F0302B" w:rsidR="008E377C" w:rsidRPr="000747D2" w:rsidRDefault="00E5308D">
            <w:pPr>
              <w:pBdr>
                <w:top w:val="nil"/>
                <w:left w:val="nil"/>
                <w:bottom w:val="nil"/>
                <w:right w:val="nil"/>
                <w:between w:val="nil"/>
              </w:pBdr>
              <w:shd w:val="clear" w:color="auto" w:fill="FFFFFF" w:themeFill="background1"/>
              <w:ind w:left="96" w:right="-115"/>
              <w:jc w:val="both"/>
              <w:rPr>
                <w:rFonts w:ascii="Cambria" w:hAnsi="Cambria"/>
                <w:sz w:val="20"/>
                <w:szCs w:val="20"/>
              </w:rPr>
            </w:pPr>
            <w:proofErr w:type="spellStart"/>
            <w:r w:rsidRPr="00134371">
              <w:rPr>
                <w:rFonts w:ascii="Cambria" w:hAnsi="Cambria" w:cs="Times New Roman"/>
                <w:sz w:val="20"/>
                <w:szCs w:val="20"/>
              </w:rPr>
              <w:t>A</w:t>
            </w:r>
            <w:r w:rsidR="00813104" w:rsidRPr="00134371">
              <w:rPr>
                <w:rFonts w:ascii="Cambria" w:hAnsi="Cambria" w:cs="Times New Roman"/>
                <w:sz w:val="20"/>
                <w:szCs w:val="20"/>
              </w:rPr>
              <w:t>supan</w:t>
            </w:r>
            <w:proofErr w:type="spellEnd"/>
            <w:r w:rsidR="00813104" w:rsidRPr="00134371">
              <w:rPr>
                <w:rFonts w:ascii="Cambria" w:hAnsi="Cambria" w:cs="Times New Roman"/>
                <w:sz w:val="20"/>
                <w:szCs w:val="20"/>
              </w:rPr>
              <w:t xml:space="preserve"> </w:t>
            </w:r>
            <w:proofErr w:type="spellStart"/>
            <w:r w:rsidR="00813104" w:rsidRPr="00134371">
              <w:rPr>
                <w:rFonts w:ascii="Cambria" w:hAnsi="Cambria" w:cs="Times New Roman"/>
                <w:sz w:val="20"/>
                <w:szCs w:val="20"/>
              </w:rPr>
              <w:t>gizi</w:t>
            </w:r>
            <w:proofErr w:type="spellEnd"/>
            <w:r w:rsidR="00813104" w:rsidRPr="00134371">
              <w:rPr>
                <w:rFonts w:ascii="Cambria" w:hAnsi="Cambria" w:cs="Times New Roman"/>
                <w:sz w:val="20"/>
                <w:szCs w:val="20"/>
              </w:rPr>
              <w:t xml:space="preserve"> </w:t>
            </w:r>
            <w:proofErr w:type="spellStart"/>
            <w:r w:rsidR="00813104" w:rsidRPr="00134371">
              <w:rPr>
                <w:rFonts w:ascii="Cambria" w:hAnsi="Cambria" w:cs="Times New Roman"/>
                <w:sz w:val="20"/>
                <w:szCs w:val="20"/>
              </w:rPr>
              <w:t>merupakan</w:t>
            </w:r>
            <w:proofErr w:type="spellEnd"/>
            <w:r w:rsidR="00813104" w:rsidRPr="00134371">
              <w:rPr>
                <w:rFonts w:ascii="Cambria" w:hAnsi="Cambria" w:cs="Times New Roman"/>
                <w:sz w:val="20"/>
                <w:szCs w:val="20"/>
              </w:rPr>
              <w:t xml:space="preserve"> salah </w:t>
            </w:r>
            <w:proofErr w:type="spellStart"/>
            <w:r w:rsidR="00813104" w:rsidRPr="00134371">
              <w:rPr>
                <w:rFonts w:ascii="Cambria" w:hAnsi="Cambria" w:cs="Times New Roman"/>
                <w:sz w:val="20"/>
                <w:szCs w:val="20"/>
              </w:rPr>
              <w:t>satu</w:t>
            </w:r>
            <w:proofErr w:type="spellEnd"/>
            <w:r w:rsidR="00813104" w:rsidRPr="00134371">
              <w:rPr>
                <w:rFonts w:ascii="Cambria" w:hAnsi="Cambria" w:cs="Times New Roman"/>
                <w:sz w:val="20"/>
                <w:szCs w:val="20"/>
              </w:rPr>
              <w:t xml:space="preserve"> strategi</w:t>
            </w:r>
            <w:r w:rsidR="00A35742">
              <w:rPr>
                <w:rFonts w:ascii="Cambria" w:hAnsi="Cambria" w:cs="Times New Roman"/>
                <w:sz w:val="20"/>
                <w:szCs w:val="20"/>
              </w:rPr>
              <w:t xml:space="preserve"> </w:t>
            </w:r>
            <w:proofErr w:type="spellStart"/>
            <w:r w:rsidR="00813104" w:rsidRPr="00134371">
              <w:rPr>
                <w:rFonts w:ascii="Cambria" w:hAnsi="Cambria" w:cs="Times New Roman"/>
                <w:sz w:val="20"/>
                <w:szCs w:val="20"/>
              </w:rPr>
              <w:t>potensial</w:t>
            </w:r>
            <w:proofErr w:type="spellEnd"/>
            <w:r w:rsidR="00813104" w:rsidRPr="00134371">
              <w:rPr>
                <w:rFonts w:ascii="Cambria" w:hAnsi="Cambria" w:cs="Times New Roman"/>
                <w:sz w:val="20"/>
                <w:szCs w:val="20"/>
              </w:rPr>
              <w:t xml:space="preserve"> </w:t>
            </w:r>
            <w:proofErr w:type="spellStart"/>
            <w:r w:rsidR="00813104" w:rsidRPr="00134371">
              <w:rPr>
                <w:rFonts w:ascii="Cambria" w:hAnsi="Cambria" w:cs="Times New Roman"/>
                <w:sz w:val="20"/>
                <w:szCs w:val="20"/>
              </w:rPr>
              <w:t>dalam</w:t>
            </w:r>
            <w:proofErr w:type="spellEnd"/>
            <w:r w:rsidR="00813104" w:rsidRPr="00134371">
              <w:rPr>
                <w:rFonts w:ascii="Cambria" w:hAnsi="Cambria" w:cs="Times New Roman"/>
                <w:sz w:val="20"/>
                <w:szCs w:val="20"/>
              </w:rPr>
              <w:t xml:space="preserve"> </w:t>
            </w:r>
            <w:proofErr w:type="spellStart"/>
            <w:r w:rsidR="00813104" w:rsidRPr="00134371">
              <w:rPr>
                <w:rFonts w:ascii="Cambria" w:hAnsi="Cambria" w:cs="Times New Roman"/>
                <w:sz w:val="20"/>
                <w:szCs w:val="20"/>
              </w:rPr>
              <w:t>pencegahan</w:t>
            </w:r>
            <w:proofErr w:type="spellEnd"/>
            <w:r w:rsidR="00813104" w:rsidRPr="00134371">
              <w:rPr>
                <w:rFonts w:ascii="Cambria" w:hAnsi="Cambria" w:cs="Times New Roman"/>
                <w:sz w:val="20"/>
                <w:szCs w:val="20"/>
              </w:rPr>
              <w:t xml:space="preserve"> </w:t>
            </w:r>
            <w:proofErr w:type="spellStart"/>
            <w:r w:rsidR="00813104" w:rsidRPr="00134371">
              <w:rPr>
                <w:rFonts w:ascii="Cambria" w:hAnsi="Cambria" w:cs="Times New Roman"/>
                <w:sz w:val="20"/>
                <w:szCs w:val="20"/>
              </w:rPr>
              <w:t>maupun</w:t>
            </w:r>
            <w:proofErr w:type="spellEnd"/>
            <w:r w:rsidR="00813104" w:rsidRPr="00134371">
              <w:rPr>
                <w:rFonts w:ascii="Cambria" w:hAnsi="Cambria" w:cs="Times New Roman"/>
                <w:sz w:val="20"/>
                <w:szCs w:val="20"/>
              </w:rPr>
              <w:t xml:space="preserve"> </w:t>
            </w:r>
            <w:proofErr w:type="spellStart"/>
            <w:r w:rsidR="00813104" w:rsidRPr="00134371">
              <w:rPr>
                <w:rFonts w:ascii="Cambria" w:hAnsi="Cambria" w:cs="Times New Roman"/>
                <w:sz w:val="20"/>
                <w:szCs w:val="20"/>
              </w:rPr>
              <w:t>penyembuhan</w:t>
            </w:r>
            <w:proofErr w:type="spellEnd"/>
            <w:r w:rsidR="00813104" w:rsidRPr="00134371">
              <w:rPr>
                <w:rFonts w:ascii="Cambria" w:hAnsi="Cambria" w:cs="Times New Roman"/>
                <w:sz w:val="20"/>
                <w:szCs w:val="20"/>
              </w:rPr>
              <w:t xml:space="preserve"> </w:t>
            </w:r>
            <w:proofErr w:type="spellStart"/>
            <w:r w:rsidR="00813104" w:rsidRPr="00134371">
              <w:rPr>
                <w:rFonts w:ascii="Cambria" w:hAnsi="Cambria" w:cs="Times New Roman"/>
                <w:sz w:val="20"/>
                <w:szCs w:val="20"/>
              </w:rPr>
              <w:t>infeksi</w:t>
            </w:r>
            <w:proofErr w:type="spellEnd"/>
            <w:r w:rsidR="00813104" w:rsidRPr="00134371">
              <w:rPr>
                <w:rFonts w:ascii="Cambria" w:hAnsi="Cambria" w:cs="Times New Roman"/>
                <w:sz w:val="20"/>
                <w:szCs w:val="20"/>
              </w:rPr>
              <w:t xml:space="preserve"> covid-19.</w:t>
            </w:r>
            <w:r w:rsidRPr="00134371">
              <w:rPr>
                <w:rFonts w:ascii="Cambria" w:eastAsia="Cambria" w:hAnsi="Cambria" w:cs="Cambria"/>
                <w:sz w:val="20"/>
                <w:szCs w:val="20"/>
              </w:rPr>
              <w:t xml:space="preserve"> </w:t>
            </w:r>
            <w:proofErr w:type="spellStart"/>
            <w:r w:rsidRPr="00134371">
              <w:rPr>
                <w:rFonts w:ascii="Cambria" w:hAnsi="Cambria" w:cs="Times New Roman"/>
              </w:rPr>
              <w:t>Zat</w:t>
            </w:r>
            <w:proofErr w:type="spellEnd"/>
            <w:r w:rsidRPr="00134371">
              <w:rPr>
                <w:rFonts w:ascii="Cambria" w:hAnsi="Cambria" w:cs="Times New Roman"/>
              </w:rPr>
              <w:t xml:space="preserve"> </w:t>
            </w:r>
            <w:proofErr w:type="spellStart"/>
            <w:r w:rsidRPr="00134371">
              <w:rPr>
                <w:rFonts w:ascii="Cambria" w:hAnsi="Cambria" w:cs="Times New Roman"/>
              </w:rPr>
              <w:t>gizi</w:t>
            </w:r>
            <w:proofErr w:type="spellEnd"/>
            <w:r w:rsidRPr="00134371">
              <w:rPr>
                <w:rFonts w:ascii="Cambria" w:hAnsi="Cambria" w:cs="Times New Roman"/>
              </w:rPr>
              <w:t xml:space="preserve"> yang </w:t>
            </w:r>
            <w:proofErr w:type="spellStart"/>
            <w:r w:rsidRPr="00134371">
              <w:rPr>
                <w:rFonts w:ascii="Cambria" w:hAnsi="Cambria" w:cs="Times New Roman"/>
              </w:rPr>
              <w:t>diperlukan</w:t>
            </w:r>
            <w:proofErr w:type="spellEnd"/>
            <w:r w:rsidRPr="00134371">
              <w:rPr>
                <w:rFonts w:ascii="Cambria" w:hAnsi="Cambria" w:cs="Times New Roman"/>
              </w:rPr>
              <w:t xml:space="preserve"> </w:t>
            </w:r>
            <w:proofErr w:type="spellStart"/>
            <w:r w:rsidRPr="00134371">
              <w:rPr>
                <w:rFonts w:ascii="Cambria" w:hAnsi="Cambria" w:cs="Times New Roman"/>
              </w:rPr>
              <w:t>untuk</w:t>
            </w:r>
            <w:proofErr w:type="spellEnd"/>
            <w:r w:rsidRPr="00134371">
              <w:rPr>
                <w:rFonts w:ascii="Cambria" w:hAnsi="Cambria" w:cs="Times New Roman"/>
              </w:rPr>
              <w:t xml:space="preserve"> </w:t>
            </w:r>
            <w:proofErr w:type="spellStart"/>
            <w:r w:rsidRPr="00134371">
              <w:rPr>
                <w:rFonts w:ascii="Cambria" w:hAnsi="Cambria" w:cs="Times New Roman"/>
                <w:sz w:val="20"/>
                <w:szCs w:val="20"/>
              </w:rPr>
              <w:t>mengoptimalkan</w:t>
            </w:r>
            <w:proofErr w:type="spellEnd"/>
            <w:r w:rsidRPr="00134371">
              <w:rPr>
                <w:rFonts w:ascii="Cambria" w:hAnsi="Cambria" w:cs="Times New Roman"/>
                <w:sz w:val="20"/>
                <w:szCs w:val="20"/>
              </w:rPr>
              <w:t xml:space="preserve"> system </w:t>
            </w:r>
            <w:proofErr w:type="spellStart"/>
            <w:r w:rsidRPr="00DA177B">
              <w:rPr>
                <w:rFonts w:ascii="Cambria" w:hAnsi="Cambria" w:cs="Times New Roman"/>
                <w:sz w:val="20"/>
                <w:szCs w:val="20"/>
              </w:rPr>
              <w:t>kekebalan</w:t>
            </w:r>
            <w:proofErr w:type="spellEnd"/>
            <w:r w:rsidRPr="00DA177B">
              <w:rPr>
                <w:rFonts w:ascii="Cambria" w:hAnsi="Cambria" w:cs="Times New Roman"/>
                <w:sz w:val="20"/>
                <w:szCs w:val="20"/>
              </w:rPr>
              <w:t xml:space="preserve"> </w:t>
            </w:r>
            <w:proofErr w:type="spellStart"/>
            <w:r w:rsidRPr="00DA177B">
              <w:rPr>
                <w:rFonts w:ascii="Cambria" w:hAnsi="Cambria" w:cs="Times New Roman"/>
                <w:sz w:val="20"/>
                <w:szCs w:val="20"/>
              </w:rPr>
              <w:t>tubuh</w:t>
            </w:r>
            <w:proofErr w:type="spellEnd"/>
            <w:r w:rsidRPr="00DA177B">
              <w:rPr>
                <w:rFonts w:ascii="Cambria" w:hAnsi="Cambria" w:cs="Times New Roman"/>
                <w:sz w:val="20"/>
                <w:szCs w:val="20"/>
              </w:rPr>
              <w:t xml:space="preserve"> </w:t>
            </w:r>
            <w:proofErr w:type="spellStart"/>
            <w:r w:rsidR="00646401" w:rsidRPr="00DA177B">
              <w:rPr>
                <w:rFonts w:ascii="Cambria" w:hAnsi="Cambria" w:cs="Times New Roman"/>
                <w:sz w:val="20"/>
                <w:szCs w:val="20"/>
              </w:rPr>
              <w:t>yaitu</w:t>
            </w:r>
            <w:proofErr w:type="spellEnd"/>
            <w:r w:rsidR="00646401" w:rsidRPr="00DA177B">
              <w:rPr>
                <w:rFonts w:ascii="Cambria" w:hAnsi="Cambria" w:cs="Times New Roman"/>
                <w:sz w:val="20"/>
                <w:szCs w:val="20"/>
              </w:rPr>
              <w:t xml:space="preserve"> </w:t>
            </w:r>
            <w:proofErr w:type="spellStart"/>
            <w:r w:rsidR="00646401" w:rsidRPr="00DA177B">
              <w:rPr>
                <w:rFonts w:ascii="Cambria" w:hAnsi="Cambria" w:cs="Times New Roman"/>
                <w:sz w:val="20"/>
                <w:szCs w:val="20"/>
              </w:rPr>
              <w:t>zat</w:t>
            </w:r>
            <w:proofErr w:type="spellEnd"/>
            <w:r w:rsidR="00646401" w:rsidRPr="00DA177B">
              <w:rPr>
                <w:rFonts w:ascii="Cambria" w:hAnsi="Cambria" w:cs="Times New Roman"/>
                <w:sz w:val="20"/>
                <w:szCs w:val="20"/>
              </w:rPr>
              <w:t xml:space="preserve"> </w:t>
            </w:r>
            <w:proofErr w:type="spellStart"/>
            <w:r w:rsidR="00646401" w:rsidRPr="00DA177B">
              <w:rPr>
                <w:rFonts w:ascii="Cambria" w:hAnsi="Cambria" w:cs="Times New Roman"/>
                <w:sz w:val="20"/>
                <w:szCs w:val="20"/>
              </w:rPr>
              <w:t>gizi</w:t>
            </w:r>
            <w:proofErr w:type="spellEnd"/>
            <w:r w:rsidR="00646401" w:rsidRPr="00DA177B">
              <w:rPr>
                <w:rFonts w:ascii="Cambria" w:hAnsi="Cambria" w:cs="Times New Roman"/>
                <w:sz w:val="20"/>
                <w:szCs w:val="20"/>
              </w:rPr>
              <w:t xml:space="preserve"> </w:t>
            </w:r>
            <w:proofErr w:type="spellStart"/>
            <w:r w:rsidR="00646401" w:rsidRPr="00DA177B">
              <w:rPr>
                <w:rFonts w:ascii="Cambria" w:hAnsi="Cambria" w:cs="Times New Roman"/>
                <w:sz w:val="20"/>
                <w:szCs w:val="20"/>
              </w:rPr>
              <w:t>makro</w:t>
            </w:r>
            <w:proofErr w:type="spellEnd"/>
            <w:r w:rsidR="00646401" w:rsidRPr="00DA177B">
              <w:rPr>
                <w:rFonts w:ascii="Cambria" w:hAnsi="Cambria" w:cs="Times New Roman"/>
                <w:sz w:val="20"/>
                <w:szCs w:val="20"/>
              </w:rPr>
              <w:t>,</w:t>
            </w:r>
            <w:r w:rsidR="00A45DBD" w:rsidRPr="00DA177B">
              <w:rPr>
                <w:rFonts w:ascii="Cambria" w:hAnsi="Cambria" w:cs="Times New Roman"/>
                <w:sz w:val="20"/>
                <w:szCs w:val="20"/>
              </w:rPr>
              <w:t xml:space="preserve"> vitamin, mineral, dan </w:t>
            </w:r>
            <w:commentRangeStart w:id="5"/>
            <w:proofErr w:type="spellStart"/>
            <w:r w:rsidRPr="00DA177B">
              <w:rPr>
                <w:rFonts w:ascii="Cambria" w:hAnsi="Cambria" w:cs="Times New Roman"/>
                <w:sz w:val="20"/>
                <w:szCs w:val="20"/>
              </w:rPr>
              <w:t>antioksidan</w:t>
            </w:r>
            <w:commentRangeEnd w:id="5"/>
            <w:proofErr w:type="spellEnd"/>
            <w:r w:rsidR="005259FA" w:rsidRPr="00DA177B">
              <w:rPr>
                <w:rStyle w:val="CommentReference"/>
              </w:rPr>
              <w:commentReference w:id="5"/>
            </w:r>
            <w:r w:rsidRPr="00DA177B">
              <w:rPr>
                <w:rFonts w:ascii="Cambria" w:hAnsi="Cambria" w:cs="Times New Roman"/>
                <w:sz w:val="20"/>
                <w:szCs w:val="20"/>
              </w:rPr>
              <w:t>.</w:t>
            </w:r>
            <w:r w:rsidR="00BD1790" w:rsidRPr="00DA177B">
              <w:rPr>
                <w:rFonts w:ascii="Cambria" w:hAnsi="Cambria" w:cs="Times New Roman"/>
                <w:sz w:val="20"/>
                <w:szCs w:val="20"/>
              </w:rPr>
              <w:t xml:space="preserve"> </w:t>
            </w:r>
            <w:proofErr w:type="spellStart"/>
            <w:r w:rsidR="00BD1790" w:rsidRPr="00DA177B">
              <w:rPr>
                <w:rFonts w:ascii="Cambria" w:hAnsi="Cambria" w:cs="Times New Roman"/>
                <w:sz w:val="20"/>
                <w:szCs w:val="20"/>
              </w:rPr>
              <w:t>Penelitian</w:t>
            </w:r>
            <w:proofErr w:type="spellEnd"/>
            <w:r w:rsidR="00BD1790" w:rsidRPr="00DA177B">
              <w:rPr>
                <w:rFonts w:ascii="Cambria" w:hAnsi="Cambria" w:cs="Times New Roman"/>
                <w:sz w:val="20"/>
                <w:szCs w:val="20"/>
              </w:rPr>
              <w:t xml:space="preserve"> </w:t>
            </w:r>
            <w:proofErr w:type="spellStart"/>
            <w:r w:rsidR="00BD1790" w:rsidRPr="00DA177B">
              <w:rPr>
                <w:rFonts w:ascii="Cambria" w:hAnsi="Cambria" w:cs="Times New Roman"/>
                <w:sz w:val="20"/>
                <w:szCs w:val="20"/>
              </w:rPr>
              <w:t>bertujuan</w:t>
            </w:r>
            <w:proofErr w:type="spellEnd"/>
            <w:r w:rsidR="00BD1790" w:rsidRPr="00DA177B">
              <w:rPr>
                <w:rFonts w:ascii="Cambria" w:hAnsi="Cambria" w:cs="Times New Roman"/>
                <w:sz w:val="20"/>
                <w:szCs w:val="20"/>
              </w:rPr>
              <w:t xml:space="preserve"> </w:t>
            </w:r>
            <w:proofErr w:type="spellStart"/>
            <w:r w:rsidR="00BD1790" w:rsidRPr="00DA177B">
              <w:rPr>
                <w:rFonts w:ascii="Cambria" w:hAnsi="Cambria" w:cs="Times New Roman"/>
                <w:sz w:val="20"/>
                <w:szCs w:val="20"/>
              </w:rPr>
              <w:t>untuk</w:t>
            </w:r>
            <w:proofErr w:type="spellEnd"/>
            <w:r w:rsidR="00BD1790" w:rsidRPr="00DA177B">
              <w:rPr>
                <w:rFonts w:ascii="Cambria" w:hAnsi="Cambria" w:cs="Times New Roman"/>
                <w:sz w:val="20"/>
                <w:szCs w:val="20"/>
              </w:rPr>
              <w:t xml:space="preserve"> </w:t>
            </w:r>
            <w:proofErr w:type="spellStart"/>
            <w:r w:rsidR="003A6C16">
              <w:rPr>
                <w:rFonts w:ascii="Cambria" w:hAnsi="Cambria" w:cs="Times New Roman"/>
                <w:sz w:val="20"/>
                <w:szCs w:val="20"/>
              </w:rPr>
              <w:t>mendapatkan</w:t>
            </w:r>
            <w:proofErr w:type="spellEnd"/>
            <w:r w:rsidR="00863181">
              <w:rPr>
                <w:rFonts w:ascii="Cambria" w:hAnsi="Cambria" w:cs="Times New Roman"/>
                <w:sz w:val="20"/>
                <w:szCs w:val="20"/>
              </w:rPr>
              <w:t xml:space="preserve"> </w:t>
            </w:r>
            <w:proofErr w:type="spellStart"/>
            <w:r w:rsidR="00BD1790" w:rsidRPr="00DA177B">
              <w:rPr>
                <w:rFonts w:ascii="Cambria" w:hAnsi="Cambria" w:cs="Times New Roman"/>
                <w:sz w:val="20"/>
                <w:szCs w:val="20"/>
              </w:rPr>
              <w:t>produk</w:t>
            </w:r>
            <w:proofErr w:type="spellEnd"/>
            <w:r w:rsidR="00BD1790" w:rsidRPr="00DA177B">
              <w:rPr>
                <w:rFonts w:ascii="Cambria" w:hAnsi="Cambria" w:cs="Times New Roman"/>
                <w:sz w:val="20"/>
                <w:szCs w:val="20"/>
              </w:rPr>
              <w:t xml:space="preserve"> </w:t>
            </w:r>
            <w:proofErr w:type="spellStart"/>
            <w:r w:rsidR="00BD1790" w:rsidRPr="00DA177B">
              <w:rPr>
                <w:rFonts w:ascii="Cambria" w:hAnsi="Cambria" w:cs="Times New Roman"/>
                <w:sz w:val="20"/>
                <w:szCs w:val="20"/>
              </w:rPr>
              <w:t>biskuit</w:t>
            </w:r>
            <w:proofErr w:type="spellEnd"/>
            <w:r w:rsidR="00A45DBD" w:rsidRPr="00DA177B">
              <w:rPr>
                <w:rFonts w:ascii="Cambria" w:hAnsi="Cambria" w:cs="Times New Roman"/>
                <w:sz w:val="20"/>
                <w:szCs w:val="20"/>
              </w:rPr>
              <w:t xml:space="preserve"> </w:t>
            </w:r>
            <w:proofErr w:type="spellStart"/>
            <w:r w:rsidR="00863181">
              <w:rPr>
                <w:rFonts w:ascii="Cambria" w:hAnsi="Cambria" w:cs="Times New Roman"/>
                <w:sz w:val="20"/>
                <w:szCs w:val="20"/>
              </w:rPr>
              <w:t>tinggi</w:t>
            </w:r>
            <w:proofErr w:type="spellEnd"/>
            <w:r w:rsidR="00863181">
              <w:rPr>
                <w:rFonts w:ascii="Cambria" w:hAnsi="Cambria" w:cs="Times New Roman"/>
                <w:sz w:val="20"/>
                <w:szCs w:val="20"/>
              </w:rPr>
              <w:t xml:space="preserve"> </w:t>
            </w:r>
            <w:proofErr w:type="spellStart"/>
            <w:r w:rsidR="00863181">
              <w:rPr>
                <w:rFonts w:ascii="Cambria" w:hAnsi="Cambria" w:cs="Times New Roman"/>
                <w:sz w:val="20"/>
                <w:szCs w:val="20"/>
              </w:rPr>
              <w:t>antioksidan</w:t>
            </w:r>
            <w:proofErr w:type="spellEnd"/>
            <w:r w:rsidR="00A45DBD" w:rsidRPr="00DA177B">
              <w:rPr>
                <w:rFonts w:ascii="Cambria" w:hAnsi="Cambria" w:cs="Times New Roman"/>
                <w:sz w:val="20"/>
                <w:szCs w:val="20"/>
              </w:rPr>
              <w:t xml:space="preserve"> </w:t>
            </w:r>
            <w:proofErr w:type="spellStart"/>
            <w:r w:rsidR="00A45DBD" w:rsidRPr="00DA177B">
              <w:rPr>
                <w:rFonts w:ascii="Cambria" w:hAnsi="Cambria" w:cs="Times New Roman"/>
                <w:sz w:val="20"/>
                <w:szCs w:val="20"/>
              </w:rPr>
              <w:t>sebagai</w:t>
            </w:r>
            <w:proofErr w:type="spellEnd"/>
            <w:r w:rsidR="00A45DBD" w:rsidRPr="00DA177B">
              <w:rPr>
                <w:rFonts w:ascii="Cambria" w:hAnsi="Cambria" w:cs="Times New Roman"/>
                <w:sz w:val="20"/>
                <w:szCs w:val="20"/>
              </w:rPr>
              <w:t xml:space="preserve"> </w:t>
            </w:r>
            <w:proofErr w:type="spellStart"/>
            <w:r w:rsidR="00A45DBD" w:rsidRPr="00DA177B">
              <w:rPr>
                <w:rFonts w:ascii="Cambria" w:hAnsi="Cambria" w:cs="Times New Roman"/>
                <w:sz w:val="20"/>
                <w:szCs w:val="20"/>
              </w:rPr>
              <w:t>pangan</w:t>
            </w:r>
            <w:proofErr w:type="spellEnd"/>
            <w:r w:rsidR="00A45DBD" w:rsidRPr="00DA177B">
              <w:rPr>
                <w:rFonts w:ascii="Cambria" w:hAnsi="Cambria" w:cs="Times New Roman"/>
                <w:sz w:val="20"/>
                <w:szCs w:val="20"/>
              </w:rPr>
              <w:t xml:space="preserve"> </w:t>
            </w:r>
            <w:proofErr w:type="spellStart"/>
            <w:r w:rsidR="00A45DBD" w:rsidRPr="00DA177B">
              <w:rPr>
                <w:rFonts w:ascii="Cambria" w:hAnsi="Cambria" w:cs="Times New Roman"/>
                <w:sz w:val="20"/>
                <w:szCs w:val="20"/>
              </w:rPr>
              <w:t>alternatif</w:t>
            </w:r>
            <w:proofErr w:type="spellEnd"/>
            <w:r w:rsidR="00A45DBD" w:rsidRPr="00DA177B">
              <w:rPr>
                <w:rFonts w:ascii="Cambria" w:hAnsi="Cambria" w:cs="Times New Roman"/>
                <w:sz w:val="20"/>
                <w:szCs w:val="20"/>
              </w:rPr>
              <w:t xml:space="preserve"> </w:t>
            </w:r>
            <w:proofErr w:type="spellStart"/>
            <w:r w:rsidR="00A45DBD" w:rsidRPr="00DA177B">
              <w:rPr>
                <w:rFonts w:ascii="Cambria" w:hAnsi="Cambria" w:cs="Times New Roman"/>
                <w:sz w:val="20"/>
                <w:szCs w:val="20"/>
              </w:rPr>
              <w:t>pencegah</w:t>
            </w:r>
            <w:proofErr w:type="spellEnd"/>
            <w:r w:rsidR="00A45DBD" w:rsidRPr="00DA177B">
              <w:rPr>
                <w:rFonts w:ascii="Cambria" w:hAnsi="Cambria" w:cs="Times New Roman"/>
                <w:sz w:val="20"/>
                <w:szCs w:val="20"/>
              </w:rPr>
              <w:t xml:space="preserve"> </w:t>
            </w:r>
            <w:proofErr w:type="spellStart"/>
            <w:r w:rsidR="00A45DBD" w:rsidRPr="00DA177B">
              <w:rPr>
                <w:rFonts w:ascii="Cambria" w:hAnsi="Cambria" w:cs="Times New Roman"/>
                <w:sz w:val="20"/>
                <w:szCs w:val="20"/>
              </w:rPr>
              <w:t>infeksi</w:t>
            </w:r>
            <w:proofErr w:type="spellEnd"/>
            <w:r w:rsidR="00A45DBD" w:rsidRPr="00DA177B">
              <w:rPr>
                <w:rFonts w:ascii="Cambria" w:hAnsi="Cambria" w:cs="Times New Roman"/>
                <w:sz w:val="20"/>
                <w:szCs w:val="20"/>
              </w:rPr>
              <w:t xml:space="preserve"> Covid-19</w:t>
            </w:r>
            <w:r w:rsidR="008C5D25" w:rsidRPr="00DA177B">
              <w:rPr>
                <w:rFonts w:ascii="Cambria" w:hAnsi="Cambria" w:cs="Times New Roman"/>
                <w:sz w:val="20"/>
                <w:szCs w:val="20"/>
              </w:rPr>
              <w:t>.</w:t>
            </w:r>
            <w:r w:rsidRPr="00DA177B">
              <w:rPr>
                <w:rFonts w:ascii="Cambria" w:hAnsi="Cambria" w:cs="Times New Roman"/>
                <w:sz w:val="20"/>
                <w:szCs w:val="20"/>
              </w:rPr>
              <w:t xml:space="preserve"> </w:t>
            </w:r>
            <w:proofErr w:type="spellStart"/>
            <w:r w:rsidR="00316109" w:rsidRPr="00DA177B">
              <w:rPr>
                <w:rFonts w:ascii="Cambria" w:hAnsi="Cambria"/>
                <w:sz w:val="20"/>
                <w:szCs w:val="20"/>
              </w:rPr>
              <w:t>P</w:t>
            </w:r>
            <w:r w:rsidRPr="00DA177B">
              <w:rPr>
                <w:rFonts w:ascii="Cambria" w:hAnsi="Cambria"/>
                <w:sz w:val="20"/>
                <w:szCs w:val="20"/>
              </w:rPr>
              <w:t>enelitian</w:t>
            </w:r>
            <w:proofErr w:type="spellEnd"/>
            <w:r w:rsidRPr="00DA177B">
              <w:rPr>
                <w:rFonts w:ascii="Cambria" w:hAnsi="Cambria"/>
                <w:sz w:val="20"/>
                <w:szCs w:val="20"/>
              </w:rPr>
              <w:t xml:space="preserve"> </w:t>
            </w:r>
            <w:proofErr w:type="spellStart"/>
            <w:r w:rsidR="00316109" w:rsidRPr="00DA177B">
              <w:rPr>
                <w:rFonts w:ascii="Cambria" w:hAnsi="Cambria"/>
                <w:sz w:val="20"/>
                <w:szCs w:val="20"/>
              </w:rPr>
              <w:t>ekperimental</w:t>
            </w:r>
            <w:proofErr w:type="spellEnd"/>
            <w:r w:rsidR="00316109" w:rsidRPr="00DA177B">
              <w:rPr>
                <w:rFonts w:ascii="Cambria" w:hAnsi="Cambria"/>
                <w:sz w:val="20"/>
                <w:szCs w:val="20"/>
              </w:rPr>
              <w:t xml:space="preserve"> </w:t>
            </w:r>
            <w:proofErr w:type="spellStart"/>
            <w:r w:rsidRPr="00DA177B">
              <w:rPr>
                <w:rFonts w:ascii="Cambria" w:hAnsi="Cambria"/>
                <w:sz w:val="20"/>
                <w:szCs w:val="20"/>
              </w:rPr>
              <w:t>menggunakan</w:t>
            </w:r>
            <w:proofErr w:type="spellEnd"/>
            <w:r w:rsidRPr="00DA177B">
              <w:rPr>
                <w:rFonts w:ascii="Cambria" w:hAnsi="Cambria"/>
                <w:sz w:val="20"/>
                <w:szCs w:val="20"/>
              </w:rPr>
              <w:t xml:space="preserve"> </w:t>
            </w:r>
            <w:proofErr w:type="spellStart"/>
            <w:r w:rsidR="00316109" w:rsidRPr="00DA177B">
              <w:rPr>
                <w:rFonts w:ascii="Cambria" w:hAnsi="Cambria"/>
                <w:sz w:val="20"/>
                <w:szCs w:val="20"/>
              </w:rPr>
              <w:t>desain</w:t>
            </w:r>
            <w:proofErr w:type="spellEnd"/>
            <w:r w:rsidR="00316109" w:rsidRPr="00DA177B">
              <w:rPr>
                <w:rFonts w:ascii="Cambria" w:hAnsi="Cambria"/>
                <w:sz w:val="20"/>
                <w:szCs w:val="20"/>
              </w:rPr>
              <w:t xml:space="preserve"> </w:t>
            </w:r>
            <w:r w:rsidRPr="00DA177B">
              <w:rPr>
                <w:rFonts w:ascii="Cambria" w:hAnsi="Cambria"/>
                <w:sz w:val="20"/>
                <w:szCs w:val="20"/>
              </w:rPr>
              <w:t xml:space="preserve">Rancangan Acak </w:t>
            </w:r>
            <w:proofErr w:type="spellStart"/>
            <w:r w:rsidRPr="00DA177B">
              <w:rPr>
                <w:rFonts w:ascii="Cambria" w:hAnsi="Cambria"/>
                <w:sz w:val="20"/>
                <w:szCs w:val="20"/>
              </w:rPr>
              <w:t>Lengkap</w:t>
            </w:r>
            <w:proofErr w:type="spellEnd"/>
            <w:r w:rsidRPr="00DA177B">
              <w:rPr>
                <w:rFonts w:ascii="Cambria" w:hAnsi="Cambria"/>
                <w:sz w:val="20"/>
                <w:szCs w:val="20"/>
              </w:rPr>
              <w:t xml:space="preserve"> (RAL)</w:t>
            </w:r>
            <w:r w:rsidR="005259FA" w:rsidRPr="00DA177B">
              <w:rPr>
                <w:rFonts w:ascii="Cambria" w:hAnsi="Cambria"/>
                <w:sz w:val="20"/>
                <w:szCs w:val="20"/>
              </w:rPr>
              <w:t xml:space="preserve">, </w:t>
            </w:r>
            <w:proofErr w:type="spellStart"/>
            <w:r w:rsidR="005259FA" w:rsidRPr="00DA177B">
              <w:rPr>
                <w:rFonts w:ascii="Cambria" w:hAnsi="Cambria"/>
                <w:sz w:val="20"/>
                <w:szCs w:val="20"/>
              </w:rPr>
              <w:t>dilakukan</w:t>
            </w:r>
            <w:proofErr w:type="spellEnd"/>
            <w:r w:rsidR="005259FA" w:rsidRPr="00DA177B">
              <w:rPr>
                <w:rFonts w:ascii="Cambria" w:hAnsi="Cambria"/>
                <w:sz w:val="20"/>
                <w:szCs w:val="20"/>
              </w:rPr>
              <w:t xml:space="preserve"> pada Agustus 2021 </w:t>
            </w:r>
            <w:proofErr w:type="spellStart"/>
            <w:r w:rsidR="005259FA" w:rsidRPr="00DA177B">
              <w:rPr>
                <w:rFonts w:ascii="Cambria" w:hAnsi="Cambria"/>
                <w:sz w:val="20"/>
                <w:szCs w:val="20"/>
              </w:rPr>
              <w:t>hingga</w:t>
            </w:r>
            <w:proofErr w:type="spellEnd"/>
            <w:r w:rsidR="005259FA" w:rsidRPr="00DA177B">
              <w:rPr>
                <w:rFonts w:ascii="Cambria" w:hAnsi="Cambria"/>
                <w:sz w:val="20"/>
                <w:szCs w:val="20"/>
              </w:rPr>
              <w:t xml:space="preserve"> Januari 2022</w:t>
            </w:r>
            <w:r w:rsidRPr="00DA177B">
              <w:rPr>
                <w:rFonts w:ascii="Cambria" w:hAnsi="Cambria"/>
                <w:sz w:val="20"/>
                <w:szCs w:val="20"/>
              </w:rPr>
              <w:t xml:space="preserve">. </w:t>
            </w:r>
            <w:proofErr w:type="spellStart"/>
            <w:r w:rsidRPr="00DA177B">
              <w:rPr>
                <w:rFonts w:ascii="Cambria" w:hAnsi="Cambria"/>
                <w:sz w:val="20"/>
                <w:szCs w:val="20"/>
              </w:rPr>
              <w:t>Formulasi</w:t>
            </w:r>
            <w:proofErr w:type="spellEnd"/>
            <w:r w:rsidRPr="00DA177B">
              <w:rPr>
                <w:rFonts w:ascii="Cambria" w:hAnsi="Cambria"/>
                <w:sz w:val="20"/>
                <w:szCs w:val="20"/>
              </w:rPr>
              <w:t xml:space="preserve"> </w:t>
            </w:r>
            <w:proofErr w:type="spellStart"/>
            <w:r w:rsidR="003165E6" w:rsidRPr="00DA177B">
              <w:rPr>
                <w:rFonts w:ascii="Cambria" w:hAnsi="Cambria"/>
                <w:sz w:val="20"/>
                <w:szCs w:val="20"/>
              </w:rPr>
              <w:t>biskuit</w:t>
            </w:r>
            <w:proofErr w:type="spellEnd"/>
            <w:r w:rsidRPr="00DA177B">
              <w:rPr>
                <w:rFonts w:ascii="Cambria" w:hAnsi="Cambria"/>
                <w:sz w:val="20"/>
                <w:szCs w:val="20"/>
              </w:rPr>
              <w:t xml:space="preserve"> </w:t>
            </w:r>
            <w:proofErr w:type="spellStart"/>
            <w:r w:rsidR="00863181">
              <w:rPr>
                <w:rFonts w:ascii="Cambria" w:hAnsi="Cambria"/>
                <w:sz w:val="20"/>
                <w:szCs w:val="20"/>
              </w:rPr>
              <w:t>dilakukan</w:t>
            </w:r>
            <w:proofErr w:type="spellEnd"/>
            <w:r w:rsidR="00863181">
              <w:rPr>
                <w:rFonts w:ascii="Cambria" w:hAnsi="Cambria"/>
                <w:sz w:val="20"/>
                <w:szCs w:val="20"/>
              </w:rPr>
              <w:t xml:space="preserve"> </w:t>
            </w:r>
            <w:proofErr w:type="spellStart"/>
            <w:r w:rsidRPr="00DA177B">
              <w:rPr>
                <w:rFonts w:ascii="Cambria" w:hAnsi="Cambria"/>
                <w:sz w:val="20"/>
                <w:szCs w:val="20"/>
              </w:rPr>
              <w:t>dengan</w:t>
            </w:r>
            <w:proofErr w:type="spellEnd"/>
            <w:r w:rsidRPr="00DA177B">
              <w:rPr>
                <w:rFonts w:ascii="Cambria" w:hAnsi="Cambria"/>
                <w:sz w:val="20"/>
                <w:szCs w:val="20"/>
              </w:rPr>
              <w:t xml:space="preserve"> </w:t>
            </w:r>
            <w:proofErr w:type="spellStart"/>
            <w:r w:rsidRPr="00DA177B">
              <w:rPr>
                <w:rFonts w:ascii="Cambria" w:hAnsi="Cambria"/>
                <w:sz w:val="20"/>
                <w:szCs w:val="20"/>
              </w:rPr>
              <w:t>pencampuran</w:t>
            </w:r>
            <w:proofErr w:type="spellEnd"/>
            <w:r w:rsidRPr="00DA177B">
              <w:rPr>
                <w:rFonts w:ascii="Cambria" w:hAnsi="Cambria"/>
                <w:sz w:val="20"/>
                <w:szCs w:val="20"/>
              </w:rPr>
              <w:t xml:space="preserve"> </w:t>
            </w:r>
            <w:proofErr w:type="spellStart"/>
            <w:r w:rsidRPr="00DA177B">
              <w:rPr>
                <w:rFonts w:ascii="Cambria" w:hAnsi="Cambria"/>
                <w:sz w:val="20"/>
                <w:szCs w:val="20"/>
              </w:rPr>
              <w:t>tepung</w:t>
            </w:r>
            <w:proofErr w:type="spellEnd"/>
            <w:r w:rsidRPr="00DA177B">
              <w:rPr>
                <w:rFonts w:ascii="Cambria" w:hAnsi="Cambria"/>
                <w:sz w:val="20"/>
                <w:szCs w:val="20"/>
              </w:rPr>
              <w:t xml:space="preserve"> ubi</w:t>
            </w:r>
            <w:r w:rsidR="00077540" w:rsidRPr="00DA177B">
              <w:rPr>
                <w:rFonts w:ascii="Cambria" w:hAnsi="Cambria"/>
                <w:sz w:val="20"/>
                <w:szCs w:val="20"/>
              </w:rPr>
              <w:t xml:space="preserve"> </w:t>
            </w:r>
            <w:proofErr w:type="spellStart"/>
            <w:r w:rsidR="00077540" w:rsidRPr="00DA177B">
              <w:rPr>
                <w:rFonts w:ascii="Cambria" w:hAnsi="Cambria"/>
                <w:sz w:val="20"/>
                <w:szCs w:val="20"/>
              </w:rPr>
              <w:t>ungu</w:t>
            </w:r>
            <w:proofErr w:type="spellEnd"/>
            <w:r w:rsidRPr="00DA177B">
              <w:rPr>
                <w:rFonts w:ascii="Cambria" w:hAnsi="Cambria"/>
                <w:sz w:val="20"/>
                <w:szCs w:val="20"/>
              </w:rPr>
              <w:t xml:space="preserve"> yang </w:t>
            </w:r>
            <w:proofErr w:type="spellStart"/>
            <w:r w:rsidRPr="00DA177B">
              <w:rPr>
                <w:rFonts w:ascii="Cambria" w:hAnsi="Cambria"/>
                <w:sz w:val="20"/>
                <w:szCs w:val="20"/>
              </w:rPr>
              <w:t>berbeda</w:t>
            </w:r>
            <w:proofErr w:type="spellEnd"/>
            <w:r w:rsidRPr="00DA177B">
              <w:rPr>
                <w:rFonts w:ascii="Cambria" w:hAnsi="Cambria"/>
                <w:sz w:val="20"/>
                <w:szCs w:val="20"/>
              </w:rPr>
              <w:t xml:space="preserve"> </w:t>
            </w:r>
            <w:proofErr w:type="spellStart"/>
            <w:r w:rsidRPr="00DA177B">
              <w:rPr>
                <w:rFonts w:ascii="Cambria" w:hAnsi="Cambria"/>
                <w:sz w:val="20"/>
                <w:szCs w:val="20"/>
              </w:rPr>
              <w:t>taraf</w:t>
            </w:r>
            <w:proofErr w:type="spellEnd"/>
            <w:r w:rsidRPr="00DA177B">
              <w:rPr>
                <w:rFonts w:ascii="Cambria" w:hAnsi="Cambria"/>
                <w:sz w:val="20"/>
                <w:szCs w:val="20"/>
              </w:rPr>
              <w:t xml:space="preserve"> (0%, 25%, 50%, 75%, 100%) dan </w:t>
            </w:r>
            <w:proofErr w:type="spellStart"/>
            <w:r w:rsidR="00077540" w:rsidRPr="00DA177B">
              <w:rPr>
                <w:rFonts w:ascii="Cambria" w:hAnsi="Cambria"/>
                <w:sz w:val="20"/>
                <w:szCs w:val="20"/>
              </w:rPr>
              <w:t>rempah</w:t>
            </w:r>
            <w:proofErr w:type="spellEnd"/>
            <w:r w:rsidR="00196DC5">
              <w:rPr>
                <w:rFonts w:ascii="Cambria" w:hAnsi="Cambria"/>
                <w:sz w:val="20"/>
                <w:szCs w:val="20"/>
              </w:rPr>
              <w:t xml:space="preserve"> </w:t>
            </w:r>
            <w:r w:rsidRPr="00DA177B">
              <w:rPr>
                <w:rFonts w:ascii="Cambria" w:hAnsi="Cambria"/>
                <w:sz w:val="20"/>
                <w:szCs w:val="20"/>
              </w:rPr>
              <w:t>(</w:t>
            </w:r>
            <w:proofErr w:type="spellStart"/>
            <w:r w:rsidRPr="00DA177B">
              <w:rPr>
                <w:rFonts w:ascii="Cambria" w:hAnsi="Cambria"/>
                <w:sz w:val="20"/>
                <w:szCs w:val="20"/>
              </w:rPr>
              <w:t>jahe</w:t>
            </w:r>
            <w:proofErr w:type="spellEnd"/>
            <w:r w:rsidRPr="00DA177B">
              <w:rPr>
                <w:rFonts w:ascii="Cambria" w:hAnsi="Cambria"/>
                <w:sz w:val="20"/>
                <w:szCs w:val="20"/>
              </w:rPr>
              <w:t xml:space="preserve">, </w:t>
            </w:r>
            <w:proofErr w:type="spellStart"/>
            <w:r w:rsidRPr="00DA177B">
              <w:rPr>
                <w:rFonts w:ascii="Cambria" w:hAnsi="Cambria"/>
                <w:sz w:val="20"/>
                <w:szCs w:val="20"/>
              </w:rPr>
              <w:t>kayumanis</w:t>
            </w:r>
            <w:proofErr w:type="spellEnd"/>
            <w:r w:rsidRPr="00DA177B">
              <w:rPr>
                <w:rFonts w:ascii="Cambria" w:hAnsi="Cambria"/>
                <w:sz w:val="20"/>
                <w:szCs w:val="20"/>
              </w:rPr>
              <w:t xml:space="preserve">, </w:t>
            </w:r>
            <w:proofErr w:type="spellStart"/>
            <w:r w:rsidRPr="00DA177B">
              <w:rPr>
                <w:rFonts w:ascii="Cambria" w:hAnsi="Cambria"/>
                <w:sz w:val="20"/>
                <w:szCs w:val="20"/>
              </w:rPr>
              <w:t>kunyit</w:t>
            </w:r>
            <w:proofErr w:type="spellEnd"/>
            <w:r w:rsidRPr="00DA177B">
              <w:rPr>
                <w:rFonts w:ascii="Cambria" w:hAnsi="Cambria"/>
                <w:sz w:val="20"/>
                <w:szCs w:val="20"/>
              </w:rPr>
              <w:t>,</w:t>
            </w:r>
            <w:r w:rsidR="003B5EDF" w:rsidRPr="00DA177B">
              <w:rPr>
                <w:rFonts w:ascii="Cambria" w:hAnsi="Cambria"/>
                <w:sz w:val="20"/>
                <w:szCs w:val="20"/>
              </w:rPr>
              <w:t xml:space="preserve"> </w:t>
            </w:r>
            <w:proofErr w:type="spellStart"/>
            <w:r w:rsidR="003B5EDF" w:rsidRPr="00DA177B">
              <w:rPr>
                <w:rFonts w:ascii="Cambria" w:hAnsi="Cambria"/>
                <w:sz w:val="20"/>
                <w:szCs w:val="20"/>
              </w:rPr>
              <w:t>kencur</w:t>
            </w:r>
            <w:proofErr w:type="spellEnd"/>
            <w:r w:rsidR="003B5EDF" w:rsidRPr="00DA177B">
              <w:rPr>
                <w:rFonts w:ascii="Cambria" w:hAnsi="Cambria"/>
                <w:sz w:val="20"/>
                <w:szCs w:val="20"/>
              </w:rPr>
              <w:t xml:space="preserve">, sereh, </w:t>
            </w:r>
            <w:proofErr w:type="spellStart"/>
            <w:r w:rsidR="003B5EDF" w:rsidRPr="00DA177B">
              <w:rPr>
                <w:rFonts w:ascii="Cambria" w:hAnsi="Cambria"/>
                <w:sz w:val="20"/>
                <w:szCs w:val="20"/>
              </w:rPr>
              <w:t>temulawak</w:t>
            </w:r>
            <w:proofErr w:type="spellEnd"/>
            <w:r w:rsidR="003B5EDF" w:rsidRPr="00DA177B">
              <w:rPr>
                <w:rFonts w:ascii="Cambria" w:hAnsi="Cambria"/>
                <w:sz w:val="20"/>
                <w:szCs w:val="20"/>
              </w:rPr>
              <w:t xml:space="preserve"> dan </w:t>
            </w:r>
            <w:proofErr w:type="spellStart"/>
            <w:r w:rsidR="003B5EDF" w:rsidRPr="00DA177B">
              <w:rPr>
                <w:rFonts w:ascii="Cambria" w:hAnsi="Cambria"/>
                <w:sz w:val="20"/>
                <w:szCs w:val="20"/>
              </w:rPr>
              <w:t>cengkeh</w:t>
            </w:r>
            <w:proofErr w:type="spellEnd"/>
            <w:r w:rsidR="003B5EDF" w:rsidRPr="00DA177B">
              <w:rPr>
                <w:rFonts w:ascii="Cambria" w:hAnsi="Cambria"/>
                <w:sz w:val="20"/>
                <w:szCs w:val="20"/>
              </w:rPr>
              <w:t>)</w:t>
            </w:r>
            <w:r w:rsidRPr="00DA177B">
              <w:rPr>
                <w:rFonts w:ascii="Cambria" w:hAnsi="Cambria"/>
                <w:sz w:val="20"/>
                <w:szCs w:val="20"/>
              </w:rPr>
              <w:t xml:space="preserve"> </w:t>
            </w:r>
            <w:proofErr w:type="spellStart"/>
            <w:r w:rsidRPr="00DA177B">
              <w:rPr>
                <w:rFonts w:ascii="Cambria" w:hAnsi="Cambria"/>
                <w:sz w:val="20"/>
                <w:szCs w:val="20"/>
              </w:rPr>
              <w:t>dalam</w:t>
            </w:r>
            <w:proofErr w:type="spellEnd"/>
            <w:r w:rsidRPr="00DA177B">
              <w:rPr>
                <w:rFonts w:ascii="Cambria" w:hAnsi="Cambria"/>
                <w:sz w:val="20"/>
                <w:szCs w:val="20"/>
              </w:rPr>
              <w:t xml:space="preserve"> </w:t>
            </w:r>
            <w:proofErr w:type="spellStart"/>
            <w:r w:rsidRPr="00DA177B">
              <w:rPr>
                <w:rFonts w:ascii="Cambria" w:hAnsi="Cambria"/>
                <w:sz w:val="20"/>
                <w:szCs w:val="20"/>
              </w:rPr>
              <w:t>bentuk</w:t>
            </w:r>
            <w:proofErr w:type="spellEnd"/>
            <w:r w:rsidRPr="00DA177B">
              <w:rPr>
                <w:rFonts w:ascii="Cambria" w:hAnsi="Cambria"/>
                <w:sz w:val="20"/>
                <w:szCs w:val="20"/>
              </w:rPr>
              <w:t xml:space="preserve"> </w:t>
            </w:r>
            <w:proofErr w:type="spellStart"/>
            <w:r w:rsidRPr="00DA177B">
              <w:rPr>
                <w:rFonts w:ascii="Cambria" w:hAnsi="Cambria"/>
                <w:sz w:val="20"/>
                <w:szCs w:val="20"/>
              </w:rPr>
              <w:t>bubuk</w:t>
            </w:r>
            <w:proofErr w:type="spellEnd"/>
            <w:r w:rsidRPr="00DA177B">
              <w:rPr>
                <w:rFonts w:ascii="Cambria" w:hAnsi="Cambria"/>
                <w:sz w:val="20"/>
                <w:szCs w:val="20"/>
              </w:rPr>
              <w:t xml:space="preserve"> </w:t>
            </w:r>
            <w:proofErr w:type="spellStart"/>
            <w:r w:rsidRPr="00DA177B">
              <w:rPr>
                <w:rFonts w:ascii="Cambria" w:hAnsi="Cambria"/>
                <w:sz w:val="20"/>
                <w:szCs w:val="20"/>
              </w:rPr>
              <w:t>dengan</w:t>
            </w:r>
            <w:proofErr w:type="spellEnd"/>
            <w:r w:rsidRPr="00DA177B">
              <w:rPr>
                <w:rFonts w:ascii="Cambria" w:hAnsi="Cambria"/>
                <w:sz w:val="20"/>
                <w:szCs w:val="20"/>
              </w:rPr>
              <w:t xml:space="preserve"> </w:t>
            </w:r>
            <w:proofErr w:type="spellStart"/>
            <w:r w:rsidRPr="00DA177B">
              <w:rPr>
                <w:rFonts w:ascii="Cambria" w:hAnsi="Cambria"/>
                <w:sz w:val="20"/>
                <w:szCs w:val="20"/>
              </w:rPr>
              <w:t>jumlah</w:t>
            </w:r>
            <w:proofErr w:type="spellEnd"/>
            <w:r w:rsidRPr="00DA177B">
              <w:rPr>
                <w:rFonts w:ascii="Cambria" w:hAnsi="Cambria"/>
                <w:sz w:val="20"/>
                <w:szCs w:val="20"/>
              </w:rPr>
              <w:t xml:space="preserve"> yang </w:t>
            </w:r>
            <w:commentRangeStart w:id="6"/>
            <w:commentRangeStart w:id="7"/>
            <w:proofErr w:type="spellStart"/>
            <w:r w:rsidRPr="00DA177B">
              <w:rPr>
                <w:rFonts w:ascii="Cambria" w:hAnsi="Cambria"/>
                <w:sz w:val="20"/>
                <w:szCs w:val="20"/>
              </w:rPr>
              <w:t>sama</w:t>
            </w:r>
            <w:commentRangeEnd w:id="6"/>
            <w:proofErr w:type="spellEnd"/>
            <w:r w:rsidR="005259FA" w:rsidRPr="00DA177B">
              <w:rPr>
                <w:rStyle w:val="CommentReference"/>
              </w:rPr>
              <w:commentReference w:id="6"/>
            </w:r>
            <w:commentRangeEnd w:id="7"/>
            <w:r w:rsidR="00A45DBD" w:rsidRPr="00DA177B">
              <w:rPr>
                <w:rStyle w:val="CommentReference"/>
              </w:rPr>
              <w:commentReference w:id="7"/>
            </w:r>
            <w:r w:rsidRPr="00DA177B">
              <w:rPr>
                <w:rFonts w:ascii="Cambria" w:hAnsi="Cambria"/>
                <w:sz w:val="20"/>
                <w:szCs w:val="20"/>
              </w:rPr>
              <w:t xml:space="preserve">. </w:t>
            </w:r>
            <w:r w:rsidR="001857BD" w:rsidRPr="00DA177B">
              <w:rPr>
                <w:rFonts w:ascii="Cambria" w:hAnsi="Cambria"/>
                <w:sz w:val="20"/>
                <w:szCs w:val="20"/>
              </w:rPr>
              <w:t xml:space="preserve">Uji </w:t>
            </w:r>
            <w:proofErr w:type="spellStart"/>
            <w:r w:rsidR="001857BD" w:rsidRPr="00DA177B">
              <w:rPr>
                <w:rFonts w:ascii="Cambria" w:hAnsi="Cambria"/>
                <w:sz w:val="20"/>
                <w:szCs w:val="20"/>
              </w:rPr>
              <w:t>sensori</w:t>
            </w:r>
            <w:proofErr w:type="spellEnd"/>
            <w:r w:rsidR="001857BD" w:rsidRPr="00DA177B">
              <w:rPr>
                <w:rFonts w:ascii="Cambria" w:hAnsi="Cambria"/>
                <w:sz w:val="20"/>
                <w:szCs w:val="20"/>
              </w:rPr>
              <w:t xml:space="preserve"> </w:t>
            </w:r>
            <w:proofErr w:type="spellStart"/>
            <w:r w:rsidR="001857BD" w:rsidRPr="00DA177B">
              <w:rPr>
                <w:rFonts w:ascii="Cambria" w:hAnsi="Cambria"/>
                <w:sz w:val="20"/>
                <w:szCs w:val="20"/>
              </w:rPr>
              <w:t>dilakukan</w:t>
            </w:r>
            <w:proofErr w:type="spellEnd"/>
            <w:r w:rsidR="001857BD" w:rsidRPr="00DA177B">
              <w:rPr>
                <w:rFonts w:ascii="Cambria" w:hAnsi="Cambria"/>
                <w:sz w:val="20"/>
                <w:szCs w:val="20"/>
              </w:rPr>
              <w:t xml:space="preserve"> pada 30 </w:t>
            </w:r>
            <w:proofErr w:type="spellStart"/>
            <w:r w:rsidR="001857BD" w:rsidRPr="00DA177B">
              <w:rPr>
                <w:rFonts w:ascii="Cambria" w:hAnsi="Cambria"/>
                <w:sz w:val="20"/>
                <w:szCs w:val="20"/>
              </w:rPr>
              <w:t>panelis</w:t>
            </w:r>
            <w:proofErr w:type="spellEnd"/>
            <w:r w:rsidR="001857BD" w:rsidRPr="00DA177B">
              <w:rPr>
                <w:rFonts w:ascii="Cambria" w:hAnsi="Cambria"/>
                <w:sz w:val="20"/>
                <w:szCs w:val="20"/>
              </w:rPr>
              <w:t xml:space="preserve"> semi </w:t>
            </w:r>
            <w:proofErr w:type="spellStart"/>
            <w:r w:rsidR="001857BD" w:rsidRPr="00DA177B">
              <w:rPr>
                <w:rFonts w:ascii="Cambria" w:hAnsi="Cambria"/>
                <w:sz w:val="20"/>
                <w:szCs w:val="20"/>
              </w:rPr>
              <w:t>terlatih</w:t>
            </w:r>
            <w:proofErr w:type="spellEnd"/>
            <w:r w:rsidR="001857BD" w:rsidRPr="00DA177B">
              <w:rPr>
                <w:rFonts w:ascii="Cambria" w:hAnsi="Cambria"/>
                <w:sz w:val="20"/>
                <w:szCs w:val="20"/>
              </w:rPr>
              <w:t xml:space="preserve">. </w:t>
            </w:r>
            <w:r w:rsidR="00DA177B" w:rsidRPr="00DA177B">
              <w:rPr>
                <w:rFonts w:ascii="Cambria" w:hAnsi="Cambria"/>
                <w:sz w:val="20"/>
                <w:szCs w:val="20"/>
              </w:rPr>
              <w:t>dan</w:t>
            </w:r>
            <w:r w:rsidR="00196DC5">
              <w:rPr>
                <w:rFonts w:ascii="Cambria" w:hAnsi="Cambria"/>
                <w:sz w:val="20"/>
                <w:szCs w:val="20"/>
              </w:rPr>
              <w:t xml:space="preserve"> </w:t>
            </w:r>
            <w:proofErr w:type="spellStart"/>
            <w:r w:rsidRPr="00DA177B">
              <w:rPr>
                <w:rFonts w:ascii="Cambria" w:hAnsi="Cambria"/>
                <w:sz w:val="20"/>
                <w:szCs w:val="20"/>
              </w:rPr>
              <w:t>dianalisis</w:t>
            </w:r>
            <w:proofErr w:type="spellEnd"/>
            <w:r w:rsidRPr="00134371">
              <w:rPr>
                <w:rFonts w:ascii="Cambria" w:hAnsi="Cambria"/>
                <w:sz w:val="20"/>
                <w:szCs w:val="20"/>
              </w:rPr>
              <w:t xml:space="preserve"> </w:t>
            </w:r>
            <w:proofErr w:type="spellStart"/>
            <w:r w:rsidRPr="00134371">
              <w:rPr>
                <w:rFonts w:ascii="Cambria" w:hAnsi="Cambria"/>
                <w:sz w:val="20"/>
                <w:szCs w:val="20"/>
              </w:rPr>
              <w:t>dengan</w:t>
            </w:r>
            <w:proofErr w:type="spellEnd"/>
            <w:r w:rsidRPr="00134371">
              <w:rPr>
                <w:rFonts w:ascii="Cambria" w:hAnsi="Cambria"/>
                <w:sz w:val="20"/>
                <w:szCs w:val="20"/>
              </w:rPr>
              <w:t xml:space="preserve"> </w:t>
            </w:r>
            <w:proofErr w:type="spellStart"/>
            <w:r w:rsidRPr="00134371">
              <w:rPr>
                <w:rFonts w:ascii="Cambria" w:hAnsi="Cambria"/>
                <w:sz w:val="20"/>
                <w:szCs w:val="20"/>
              </w:rPr>
              <w:t>menggunakan</w:t>
            </w:r>
            <w:proofErr w:type="spellEnd"/>
            <w:r w:rsidRPr="00134371">
              <w:rPr>
                <w:rFonts w:ascii="Cambria" w:hAnsi="Cambria"/>
                <w:sz w:val="20"/>
                <w:szCs w:val="20"/>
              </w:rPr>
              <w:t xml:space="preserve"> ANOVA. </w:t>
            </w:r>
            <w:commentRangeStart w:id="8"/>
            <w:commentRangeStart w:id="9"/>
            <w:proofErr w:type="spellStart"/>
            <w:r w:rsidRPr="00134371">
              <w:rPr>
                <w:rFonts w:ascii="Cambria" w:hAnsi="Cambria"/>
                <w:sz w:val="20"/>
                <w:szCs w:val="20"/>
              </w:rPr>
              <w:t>Analisis</w:t>
            </w:r>
            <w:proofErr w:type="spellEnd"/>
            <w:r w:rsidRPr="00134371">
              <w:rPr>
                <w:rFonts w:ascii="Cambria" w:hAnsi="Cambria"/>
                <w:sz w:val="20"/>
                <w:szCs w:val="20"/>
              </w:rPr>
              <w:t xml:space="preserve"> </w:t>
            </w:r>
            <w:proofErr w:type="spellStart"/>
            <w:r w:rsidR="00316109">
              <w:rPr>
                <w:rFonts w:ascii="Cambria" w:hAnsi="Cambria"/>
                <w:sz w:val="20"/>
                <w:szCs w:val="20"/>
              </w:rPr>
              <w:t>kandungan</w:t>
            </w:r>
            <w:proofErr w:type="spellEnd"/>
            <w:r w:rsidR="00316109">
              <w:rPr>
                <w:rFonts w:ascii="Cambria" w:hAnsi="Cambria"/>
                <w:sz w:val="20"/>
                <w:szCs w:val="20"/>
              </w:rPr>
              <w:t xml:space="preserve"> </w:t>
            </w:r>
            <w:proofErr w:type="spellStart"/>
            <w:r w:rsidR="00316109">
              <w:rPr>
                <w:rFonts w:ascii="Cambria" w:hAnsi="Cambria"/>
                <w:sz w:val="20"/>
                <w:szCs w:val="20"/>
              </w:rPr>
              <w:t>gizi</w:t>
            </w:r>
            <w:proofErr w:type="spellEnd"/>
            <w:r w:rsidRPr="00134371">
              <w:rPr>
                <w:rFonts w:ascii="Cambria" w:hAnsi="Cambria"/>
                <w:sz w:val="20"/>
                <w:szCs w:val="20"/>
              </w:rPr>
              <w:t xml:space="preserve"> </w:t>
            </w:r>
            <w:r w:rsidR="0062028A">
              <w:rPr>
                <w:rFonts w:ascii="Cambria" w:hAnsi="Cambria"/>
                <w:sz w:val="20"/>
                <w:szCs w:val="20"/>
              </w:rPr>
              <w:t xml:space="preserve">dan </w:t>
            </w:r>
            <w:proofErr w:type="spellStart"/>
            <w:r w:rsidR="0062028A">
              <w:rPr>
                <w:rFonts w:ascii="Cambria" w:hAnsi="Cambria"/>
                <w:sz w:val="20"/>
                <w:szCs w:val="20"/>
              </w:rPr>
              <w:t>kandungan</w:t>
            </w:r>
            <w:proofErr w:type="spellEnd"/>
            <w:r w:rsidR="0062028A">
              <w:rPr>
                <w:rFonts w:ascii="Cambria" w:hAnsi="Cambria"/>
                <w:sz w:val="20"/>
                <w:szCs w:val="20"/>
              </w:rPr>
              <w:t xml:space="preserve"> </w:t>
            </w:r>
            <w:proofErr w:type="spellStart"/>
            <w:r w:rsidR="0062028A">
              <w:rPr>
                <w:rFonts w:ascii="Cambria" w:hAnsi="Cambria"/>
                <w:sz w:val="20"/>
                <w:szCs w:val="20"/>
              </w:rPr>
              <w:t>antioksidan</w:t>
            </w:r>
            <w:proofErr w:type="spellEnd"/>
            <w:r w:rsidR="0062028A">
              <w:rPr>
                <w:rFonts w:ascii="Cambria" w:hAnsi="Cambria"/>
                <w:sz w:val="20"/>
                <w:szCs w:val="20"/>
              </w:rPr>
              <w:t xml:space="preserve"> </w:t>
            </w:r>
            <w:proofErr w:type="spellStart"/>
            <w:r w:rsidR="0062028A">
              <w:rPr>
                <w:rFonts w:ascii="Cambria" w:hAnsi="Cambria"/>
                <w:sz w:val="20"/>
                <w:szCs w:val="20"/>
              </w:rPr>
              <w:t>dianalisis</w:t>
            </w:r>
            <w:proofErr w:type="spellEnd"/>
            <w:r w:rsidR="008C5D25">
              <w:rPr>
                <w:rFonts w:ascii="Cambria" w:hAnsi="Cambria"/>
                <w:sz w:val="20"/>
                <w:szCs w:val="20"/>
              </w:rPr>
              <w:t xml:space="preserve"> </w:t>
            </w:r>
            <w:proofErr w:type="spellStart"/>
            <w:r w:rsidRPr="00134371">
              <w:rPr>
                <w:rFonts w:ascii="Cambria" w:hAnsi="Cambria"/>
                <w:sz w:val="20"/>
                <w:szCs w:val="20"/>
              </w:rPr>
              <w:t>menggunakan</w:t>
            </w:r>
            <w:proofErr w:type="spellEnd"/>
            <w:r w:rsidRPr="00134371">
              <w:rPr>
                <w:rFonts w:ascii="Cambria" w:hAnsi="Cambria"/>
                <w:sz w:val="20"/>
                <w:szCs w:val="20"/>
              </w:rPr>
              <w:t xml:space="preserve"> </w:t>
            </w:r>
            <w:proofErr w:type="spellStart"/>
            <w:r w:rsidRPr="00134371">
              <w:rPr>
                <w:rFonts w:ascii="Cambria" w:hAnsi="Cambria"/>
                <w:sz w:val="20"/>
                <w:szCs w:val="20"/>
              </w:rPr>
              <w:t>metode</w:t>
            </w:r>
            <w:proofErr w:type="spellEnd"/>
            <w:r w:rsidRPr="00134371">
              <w:rPr>
                <w:rFonts w:ascii="Cambria" w:hAnsi="Cambria"/>
                <w:sz w:val="20"/>
                <w:szCs w:val="20"/>
              </w:rPr>
              <w:t xml:space="preserve"> AOAC</w:t>
            </w:r>
            <w:r w:rsidR="0062028A">
              <w:rPr>
                <w:rFonts w:ascii="Cambria" w:hAnsi="Cambria"/>
                <w:sz w:val="20"/>
                <w:szCs w:val="20"/>
              </w:rPr>
              <w:t xml:space="preserve"> dan </w:t>
            </w:r>
            <w:proofErr w:type="spellStart"/>
            <w:r w:rsidR="0062028A">
              <w:rPr>
                <w:rFonts w:ascii="Cambria" w:hAnsi="Cambria"/>
                <w:sz w:val="20"/>
                <w:szCs w:val="20"/>
              </w:rPr>
              <w:t>metode</w:t>
            </w:r>
            <w:proofErr w:type="spellEnd"/>
            <w:r w:rsidR="0062028A">
              <w:rPr>
                <w:rFonts w:ascii="Cambria" w:hAnsi="Cambria"/>
                <w:sz w:val="20"/>
                <w:szCs w:val="20"/>
              </w:rPr>
              <w:t xml:space="preserve"> DPPH. </w:t>
            </w:r>
            <w:commentRangeEnd w:id="8"/>
            <w:r w:rsidR="005259FA">
              <w:rPr>
                <w:rStyle w:val="CommentReference"/>
              </w:rPr>
              <w:commentReference w:id="8"/>
            </w:r>
            <w:commentRangeEnd w:id="9"/>
            <w:r w:rsidR="006765CB">
              <w:rPr>
                <w:rStyle w:val="CommentReference"/>
              </w:rPr>
              <w:commentReference w:id="9"/>
            </w:r>
            <w:r w:rsidR="005259FA">
              <w:rPr>
                <w:rFonts w:ascii="Cambria" w:hAnsi="Cambria"/>
                <w:sz w:val="20"/>
                <w:szCs w:val="20"/>
              </w:rPr>
              <w:t>Hasil, f</w:t>
            </w:r>
            <w:r w:rsidR="009015AF" w:rsidRPr="00134371">
              <w:rPr>
                <w:rFonts w:ascii="Cambria" w:hAnsi="Cambria"/>
                <w:sz w:val="20"/>
                <w:szCs w:val="20"/>
              </w:rPr>
              <w:t xml:space="preserve">ormula </w:t>
            </w:r>
            <w:proofErr w:type="spellStart"/>
            <w:r w:rsidR="009015AF" w:rsidRPr="00134371">
              <w:rPr>
                <w:rFonts w:ascii="Cambria" w:hAnsi="Cambria"/>
                <w:sz w:val="20"/>
                <w:szCs w:val="20"/>
              </w:rPr>
              <w:t>biskuit</w:t>
            </w:r>
            <w:proofErr w:type="spellEnd"/>
            <w:r w:rsidRPr="00134371">
              <w:rPr>
                <w:rFonts w:ascii="Cambria" w:hAnsi="Cambria"/>
                <w:sz w:val="20"/>
                <w:szCs w:val="20"/>
              </w:rPr>
              <w:t xml:space="preserve"> </w:t>
            </w:r>
            <w:proofErr w:type="spellStart"/>
            <w:r w:rsidRPr="00134371">
              <w:rPr>
                <w:rFonts w:ascii="Cambria" w:hAnsi="Cambria"/>
                <w:sz w:val="20"/>
                <w:szCs w:val="20"/>
              </w:rPr>
              <w:t>terpilih</w:t>
            </w:r>
            <w:proofErr w:type="spellEnd"/>
            <w:r w:rsidRPr="00134371">
              <w:rPr>
                <w:rFonts w:ascii="Cambria" w:hAnsi="Cambria"/>
                <w:sz w:val="20"/>
                <w:szCs w:val="20"/>
              </w:rPr>
              <w:t xml:space="preserve"> </w:t>
            </w:r>
            <w:proofErr w:type="spellStart"/>
            <w:r w:rsidRPr="00134371">
              <w:rPr>
                <w:rFonts w:ascii="Cambria" w:hAnsi="Cambria"/>
                <w:sz w:val="20"/>
                <w:szCs w:val="20"/>
              </w:rPr>
              <w:t>dari</w:t>
            </w:r>
            <w:proofErr w:type="spellEnd"/>
            <w:r w:rsidRPr="00134371">
              <w:rPr>
                <w:rFonts w:ascii="Cambria" w:hAnsi="Cambria"/>
                <w:sz w:val="20"/>
                <w:szCs w:val="20"/>
              </w:rPr>
              <w:t xml:space="preserve"> </w:t>
            </w:r>
            <w:proofErr w:type="spellStart"/>
            <w:r w:rsidRPr="00134371">
              <w:rPr>
                <w:rFonts w:ascii="Cambria" w:hAnsi="Cambria"/>
                <w:sz w:val="20"/>
                <w:szCs w:val="20"/>
              </w:rPr>
              <w:t>hasil</w:t>
            </w:r>
            <w:proofErr w:type="spellEnd"/>
            <w:r w:rsidRPr="00134371">
              <w:rPr>
                <w:rFonts w:ascii="Cambria" w:hAnsi="Cambria"/>
                <w:sz w:val="20"/>
                <w:szCs w:val="20"/>
              </w:rPr>
              <w:t xml:space="preserve"> uji </w:t>
            </w:r>
            <w:proofErr w:type="spellStart"/>
            <w:r w:rsidR="00316109">
              <w:rPr>
                <w:rFonts w:ascii="Cambria" w:hAnsi="Cambria"/>
                <w:sz w:val="20"/>
                <w:szCs w:val="20"/>
              </w:rPr>
              <w:t>sensori</w:t>
            </w:r>
            <w:proofErr w:type="spellEnd"/>
            <w:r w:rsidR="00077540">
              <w:rPr>
                <w:rFonts w:ascii="Cambria" w:hAnsi="Cambria"/>
                <w:sz w:val="20"/>
                <w:szCs w:val="20"/>
              </w:rPr>
              <w:t xml:space="preserve"> </w:t>
            </w:r>
            <w:proofErr w:type="spellStart"/>
            <w:r w:rsidRPr="00134371">
              <w:rPr>
                <w:rFonts w:ascii="Cambria" w:hAnsi="Cambria"/>
                <w:sz w:val="20"/>
                <w:szCs w:val="20"/>
              </w:rPr>
              <w:t>adalah</w:t>
            </w:r>
            <w:proofErr w:type="spellEnd"/>
            <w:r w:rsidRPr="00134371">
              <w:rPr>
                <w:rFonts w:ascii="Cambria" w:hAnsi="Cambria"/>
                <w:sz w:val="20"/>
                <w:szCs w:val="20"/>
              </w:rPr>
              <w:t xml:space="preserve"> F</w:t>
            </w:r>
            <w:r w:rsidR="008C7F7E" w:rsidRPr="00134371">
              <w:rPr>
                <w:rFonts w:ascii="Cambria" w:hAnsi="Cambria"/>
                <w:sz w:val="20"/>
                <w:szCs w:val="20"/>
              </w:rPr>
              <w:t>2</w:t>
            </w:r>
            <w:r w:rsidR="003B5EDF" w:rsidRPr="00134371">
              <w:rPr>
                <w:rFonts w:ascii="Cambria" w:hAnsi="Cambria"/>
                <w:sz w:val="20"/>
                <w:szCs w:val="20"/>
              </w:rPr>
              <w:t xml:space="preserve"> </w:t>
            </w:r>
            <w:proofErr w:type="spellStart"/>
            <w:r w:rsidRPr="00134371">
              <w:rPr>
                <w:rFonts w:ascii="Cambria" w:hAnsi="Cambria"/>
                <w:sz w:val="20"/>
                <w:szCs w:val="20"/>
              </w:rPr>
              <w:t>dengan</w:t>
            </w:r>
            <w:proofErr w:type="spellEnd"/>
            <w:r w:rsidRPr="00134371">
              <w:rPr>
                <w:rFonts w:ascii="Cambria" w:hAnsi="Cambria"/>
                <w:sz w:val="20"/>
                <w:szCs w:val="20"/>
              </w:rPr>
              <w:t xml:space="preserve"> </w:t>
            </w:r>
            <w:proofErr w:type="spellStart"/>
            <w:r w:rsidRPr="00134371">
              <w:rPr>
                <w:rFonts w:ascii="Cambria" w:hAnsi="Cambria"/>
                <w:sz w:val="20"/>
                <w:szCs w:val="20"/>
              </w:rPr>
              <w:t>pencampuran</w:t>
            </w:r>
            <w:proofErr w:type="spellEnd"/>
            <w:r w:rsidRPr="00134371">
              <w:rPr>
                <w:rFonts w:ascii="Cambria" w:hAnsi="Cambria"/>
                <w:sz w:val="20"/>
                <w:szCs w:val="20"/>
              </w:rPr>
              <w:t xml:space="preserve"> </w:t>
            </w:r>
            <w:proofErr w:type="spellStart"/>
            <w:r w:rsidR="003B5EDF" w:rsidRPr="00134371">
              <w:rPr>
                <w:rFonts w:ascii="Cambria" w:hAnsi="Cambria"/>
                <w:sz w:val="20"/>
                <w:szCs w:val="20"/>
              </w:rPr>
              <w:t>tepung</w:t>
            </w:r>
            <w:proofErr w:type="spellEnd"/>
            <w:r w:rsidR="003B5EDF" w:rsidRPr="00134371">
              <w:rPr>
                <w:rFonts w:ascii="Cambria" w:hAnsi="Cambria"/>
                <w:sz w:val="20"/>
                <w:szCs w:val="20"/>
              </w:rPr>
              <w:t xml:space="preserve"> ubi </w:t>
            </w:r>
            <w:proofErr w:type="spellStart"/>
            <w:r w:rsidR="003B5EDF" w:rsidRPr="00134371">
              <w:rPr>
                <w:rFonts w:ascii="Cambria" w:hAnsi="Cambria"/>
                <w:sz w:val="20"/>
                <w:szCs w:val="20"/>
              </w:rPr>
              <w:t>ungu</w:t>
            </w:r>
            <w:proofErr w:type="spellEnd"/>
            <w:r w:rsidR="003B5EDF" w:rsidRPr="00134371">
              <w:rPr>
                <w:rFonts w:ascii="Cambria" w:hAnsi="Cambria"/>
                <w:sz w:val="20"/>
                <w:szCs w:val="20"/>
              </w:rPr>
              <w:t xml:space="preserve"> </w:t>
            </w:r>
            <w:r w:rsidR="008C7F7E" w:rsidRPr="00134371">
              <w:rPr>
                <w:rFonts w:ascii="Cambria" w:hAnsi="Cambria"/>
                <w:sz w:val="20"/>
                <w:szCs w:val="20"/>
              </w:rPr>
              <w:t>50</w:t>
            </w:r>
            <w:r w:rsidR="003B5EDF" w:rsidRPr="00134371">
              <w:rPr>
                <w:rFonts w:ascii="Cambria" w:hAnsi="Cambria"/>
                <w:sz w:val="20"/>
                <w:szCs w:val="20"/>
              </w:rPr>
              <w:t>%</w:t>
            </w:r>
            <w:r w:rsidR="00270923" w:rsidRPr="00134371">
              <w:rPr>
                <w:rFonts w:ascii="Cambria" w:hAnsi="Cambria"/>
                <w:sz w:val="20"/>
                <w:szCs w:val="20"/>
              </w:rPr>
              <w:t xml:space="preserve">. </w:t>
            </w:r>
            <w:r w:rsidR="00DA177B" w:rsidRPr="00737012">
              <w:rPr>
                <w:rFonts w:ascii="Cambria" w:hAnsi="Cambria"/>
                <w:sz w:val="20"/>
                <w:szCs w:val="20"/>
              </w:rPr>
              <w:t>Hasil uji ANOVA</w:t>
            </w:r>
            <w:r w:rsidR="0062028A" w:rsidRPr="00FE7A42">
              <w:rPr>
                <w:rFonts w:ascii="Cambria" w:hAnsi="Cambria"/>
                <w:sz w:val="20"/>
                <w:szCs w:val="20"/>
              </w:rPr>
              <w:t xml:space="preserve"> pada</w:t>
            </w:r>
            <w:r w:rsidR="00966281" w:rsidRPr="00FE7A42">
              <w:rPr>
                <w:rFonts w:ascii="Cambria" w:hAnsi="Cambria"/>
                <w:sz w:val="20"/>
                <w:szCs w:val="20"/>
              </w:rPr>
              <w:t xml:space="preserve"> uji </w:t>
            </w:r>
            <w:proofErr w:type="spellStart"/>
            <w:r w:rsidR="00737012" w:rsidRPr="00FE7A42">
              <w:rPr>
                <w:rFonts w:ascii="Cambria" w:hAnsi="Cambria"/>
                <w:sz w:val="20"/>
                <w:szCs w:val="20"/>
              </w:rPr>
              <w:t>hedonik</w:t>
            </w:r>
            <w:proofErr w:type="spellEnd"/>
            <w:r w:rsidR="00737012" w:rsidRPr="00FE7A42">
              <w:rPr>
                <w:rFonts w:ascii="Cambria" w:hAnsi="Cambria"/>
                <w:sz w:val="20"/>
                <w:szCs w:val="20"/>
              </w:rPr>
              <w:t xml:space="preserve"> (</w:t>
            </w:r>
            <w:proofErr w:type="spellStart"/>
            <w:r w:rsidR="00737012" w:rsidRPr="00FE7A42">
              <w:rPr>
                <w:rFonts w:ascii="Cambria" w:hAnsi="Cambria"/>
                <w:sz w:val="20"/>
                <w:szCs w:val="20"/>
              </w:rPr>
              <w:t>daya</w:t>
            </w:r>
            <w:proofErr w:type="spellEnd"/>
            <w:r w:rsidR="00737012" w:rsidRPr="00FE7A42">
              <w:rPr>
                <w:rFonts w:ascii="Cambria" w:hAnsi="Cambria"/>
                <w:sz w:val="20"/>
                <w:szCs w:val="20"/>
              </w:rPr>
              <w:t xml:space="preserve"> </w:t>
            </w:r>
            <w:proofErr w:type="spellStart"/>
            <w:r w:rsidR="00737012" w:rsidRPr="00FE7A42">
              <w:rPr>
                <w:rFonts w:ascii="Cambria" w:hAnsi="Cambria"/>
                <w:sz w:val="20"/>
                <w:szCs w:val="20"/>
              </w:rPr>
              <w:t>terima</w:t>
            </w:r>
            <w:proofErr w:type="spellEnd"/>
            <w:r w:rsidR="00737012" w:rsidRPr="00FE7A42">
              <w:rPr>
                <w:rFonts w:ascii="Cambria" w:hAnsi="Cambria"/>
                <w:sz w:val="20"/>
                <w:szCs w:val="20"/>
              </w:rPr>
              <w:t>)</w:t>
            </w:r>
            <w:r w:rsidR="00DA177B" w:rsidRPr="00737012">
              <w:rPr>
                <w:rFonts w:ascii="Cambria" w:hAnsi="Cambria"/>
                <w:sz w:val="20"/>
                <w:szCs w:val="20"/>
              </w:rPr>
              <w:t xml:space="preserve"> </w:t>
            </w:r>
            <w:proofErr w:type="spellStart"/>
            <w:r w:rsidR="00DA177B" w:rsidRPr="00737012">
              <w:rPr>
                <w:rFonts w:ascii="Cambria" w:hAnsi="Cambria"/>
                <w:sz w:val="20"/>
                <w:szCs w:val="20"/>
              </w:rPr>
              <w:t>menunjukkan</w:t>
            </w:r>
            <w:proofErr w:type="spellEnd"/>
            <w:r w:rsidR="00966281" w:rsidRPr="00737012">
              <w:rPr>
                <w:rFonts w:ascii="Cambria" w:hAnsi="Cambria"/>
                <w:sz w:val="20"/>
                <w:szCs w:val="20"/>
              </w:rPr>
              <w:t xml:space="preserve"> </w:t>
            </w:r>
            <w:proofErr w:type="spellStart"/>
            <w:r w:rsidR="00966281" w:rsidRPr="00737012">
              <w:rPr>
                <w:rFonts w:ascii="Cambria" w:hAnsi="Cambria"/>
                <w:sz w:val="20"/>
                <w:szCs w:val="20"/>
              </w:rPr>
              <w:t>terdapat</w:t>
            </w:r>
            <w:proofErr w:type="spellEnd"/>
            <w:r w:rsidR="00966281" w:rsidRPr="00737012">
              <w:rPr>
                <w:rFonts w:ascii="Cambria" w:hAnsi="Cambria"/>
                <w:sz w:val="20"/>
                <w:szCs w:val="20"/>
              </w:rPr>
              <w:t xml:space="preserve"> </w:t>
            </w:r>
            <w:proofErr w:type="spellStart"/>
            <w:r w:rsidR="00966281" w:rsidRPr="00737012">
              <w:rPr>
                <w:rFonts w:ascii="Cambria" w:hAnsi="Cambria"/>
                <w:sz w:val="20"/>
                <w:szCs w:val="20"/>
              </w:rPr>
              <w:t>perbedaan</w:t>
            </w:r>
            <w:proofErr w:type="spellEnd"/>
            <w:r w:rsidR="00966281" w:rsidRPr="00737012">
              <w:rPr>
                <w:rFonts w:ascii="Cambria" w:hAnsi="Cambria"/>
                <w:sz w:val="20"/>
                <w:szCs w:val="20"/>
              </w:rPr>
              <w:t xml:space="preserve"> </w:t>
            </w:r>
            <w:proofErr w:type="spellStart"/>
            <w:r w:rsidR="00966281" w:rsidRPr="00737012">
              <w:rPr>
                <w:rFonts w:ascii="Cambria" w:hAnsi="Cambria"/>
                <w:sz w:val="20"/>
                <w:szCs w:val="20"/>
              </w:rPr>
              <w:t>nyata</w:t>
            </w:r>
            <w:proofErr w:type="spellEnd"/>
            <w:r w:rsidR="00966281" w:rsidRPr="00737012">
              <w:rPr>
                <w:rFonts w:ascii="Cambria" w:hAnsi="Cambria"/>
                <w:sz w:val="20"/>
                <w:szCs w:val="20"/>
              </w:rPr>
              <w:t xml:space="preserve"> pada </w:t>
            </w:r>
            <w:proofErr w:type="spellStart"/>
            <w:r w:rsidR="00966281" w:rsidRPr="00737012">
              <w:rPr>
                <w:rFonts w:ascii="Cambria" w:hAnsi="Cambria"/>
                <w:sz w:val="20"/>
                <w:szCs w:val="20"/>
              </w:rPr>
              <w:t>atribut</w:t>
            </w:r>
            <w:proofErr w:type="spellEnd"/>
            <w:r w:rsidR="00737012" w:rsidRPr="00737012">
              <w:rPr>
                <w:rFonts w:ascii="Cambria" w:hAnsi="Cambria"/>
                <w:sz w:val="20"/>
                <w:szCs w:val="20"/>
              </w:rPr>
              <w:t xml:space="preserve"> </w:t>
            </w:r>
            <w:proofErr w:type="spellStart"/>
            <w:r w:rsidR="00737012" w:rsidRPr="00737012">
              <w:rPr>
                <w:rFonts w:ascii="Cambria" w:hAnsi="Cambria"/>
                <w:sz w:val="20"/>
                <w:szCs w:val="20"/>
              </w:rPr>
              <w:t>warna</w:t>
            </w:r>
            <w:proofErr w:type="spellEnd"/>
            <w:r w:rsidR="00737012" w:rsidRPr="00737012">
              <w:rPr>
                <w:rFonts w:ascii="Cambria" w:hAnsi="Cambria"/>
                <w:sz w:val="20"/>
                <w:szCs w:val="20"/>
              </w:rPr>
              <w:t xml:space="preserve">, rasa, </w:t>
            </w:r>
            <w:proofErr w:type="spellStart"/>
            <w:r w:rsidR="00737012" w:rsidRPr="00737012">
              <w:rPr>
                <w:rFonts w:ascii="Cambria" w:hAnsi="Cambria"/>
                <w:sz w:val="20"/>
                <w:szCs w:val="20"/>
              </w:rPr>
              <w:t>tekstur</w:t>
            </w:r>
            <w:proofErr w:type="spellEnd"/>
            <w:r w:rsidR="00737012" w:rsidRPr="00737012">
              <w:rPr>
                <w:rFonts w:ascii="Cambria" w:hAnsi="Cambria"/>
                <w:sz w:val="20"/>
                <w:szCs w:val="20"/>
              </w:rPr>
              <w:t xml:space="preserve"> dan </w:t>
            </w:r>
            <w:r w:rsidR="00737012" w:rsidRPr="00FE7A42">
              <w:rPr>
                <w:rFonts w:ascii="Cambria" w:hAnsi="Cambria"/>
                <w:i/>
                <w:iCs/>
                <w:sz w:val="20"/>
                <w:szCs w:val="20"/>
              </w:rPr>
              <w:t>aftertaste</w:t>
            </w:r>
            <w:r w:rsidR="00737012" w:rsidRPr="00737012">
              <w:rPr>
                <w:rFonts w:ascii="Cambria" w:hAnsi="Cambria"/>
                <w:sz w:val="20"/>
                <w:szCs w:val="20"/>
              </w:rPr>
              <w:t xml:space="preserve"> pada </w:t>
            </w:r>
            <w:proofErr w:type="spellStart"/>
            <w:r w:rsidR="00737012" w:rsidRPr="00737012">
              <w:rPr>
                <w:rFonts w:ascii="Cambria" w:hAnsi="Cambria"/>
                <w:sz w:val="20"/>
                <w:szCs w:val="20"/>
              </w:rPr>
              <w:t>biskuit</w:t>
            </w:r>
            <w:proofErr w:type="spellEnd"/>
            <w:r w:rsidR="00737012">
              <w:rPr>
                <w:rFonts w:ascii="Cambria" w:hAnsi="Cambria"/>
                <w:sz w:val="20"/>
                <w:szCs w:val="20"/>
              </w:rPr>
              <w:t xml:space="preserve"> </w:t>
            </w:r>
            <w:r w:rsidR="00737012">
              <w:rPr>
                <w:rFonts w:ascii="Cambria" w:eastAsia="Times New Roman" w:hAnsi="Cambria" w:cs="Courier New"/>
                <w:color w:val="202124"/>
                <w:sz w:val="20"/>
                <w:szCs w:val="20"/>
                <w:lang w:val="en"/>
              </w:rPr>
              <w:t>(p&lt;0.05)</w:t>
            </w:r>
            <w:r w:rsidR="00737012" w:rsidRPr="00737012">
              <w:rPr>
                <w:rFonts w:ascii="Cambria" w:hAnsi="Cambria"/>
                <w:sz w:val="20"/>
                <w:szCs w:val="20"/>
              </w:rPr>
              <w:t>.</w:t>
            </w:r>
            <w:r w:rsidR="00737012">
              <w:rPr>
                <w:rFonts w:ascii="Cambria" w:hAnsi="Cambria"/>
                <w:sz w:val="20"/>
                <w:szCs w:val="20"/>
              </w:rPr>
              <w:t xml:space="preserve"> </w:t>
            </w:r>
            <w:r w:rsidR="005259FA">
              <w:rPr>
                <w:rFonts w:ascii="Cambria" w:hAnsi="Cambria"/>
                <w:sz w:val="20"/>
                <w:szCs w:val="20"/>
              </w:rPr>
              <w:t>Kesimpulan,</w:t>
            </w:r>
            <w:r w:rsidR="008C5D25">
              <w:rPr>
                <w:rFonts w:ascii="Cambria" w:hAnsi="Cambria"/>
                <w:sz w:val="20"/>
                <w:szCs w:val="20"/>
              </w:rPr>
              <w:t xml:space="preserve"> f</w:t>
            </w:r>
            <w:r w:rsidR="008C5D25" w:rsidRPr="00134371">
              <w:rPr>
                <w:rFonts w:ascii="Cambria" w:hAnsi="Cambria"/>
                <w:sz w:val="20"/>
                <w:szCs w:val="20"/>
              </w:rPr>
              <w:t xml:space="preserve">ormula </w:t>
            </w:r>
            <w:r w:rsidR="00120AA0">
              <w:rPr>
                <w:rFonts w:ascii="Cambria" w:hAnsi="Cambria"/>
                <w:sz w:val="20"/>
                <w:szCs w:val="20"/>
              </w:rPr>
              <w:t xml:space="preserve">F2 </w:t>
            </w:r>
            <w:proofErr w:type="spellStart"/>
            <w:r w:rsidR="00120AA0">
              <w:rPr>
                <w:rFonts w:ascii="Cambria" w:hAnsi="Cambria"/>
                <w:sz w:val="20"/>
                <w:szCs w:val="20"/>
              </w:rPr>
              <w:t>adalah</w:t>
            </w:r>
            <w:proofErr w:type="spellEnd"/>
            <w:r w:rsidR="00120AA0">
              <w:rPr>
                <w:rFonts w:ascii="Cambria" w:hAnsi="Cambria"/>
                <w:sz w:val="20"/>
                <w:szCs w:val="20"/>
              </w:rPr>
              <w:t xml:space="preserve"> formula </w:t>
            </w:r>
            <w:proofErr w:type="spellStart"/>
            <w:r w:rsidR="008C5D25" w:rsidRPr="00134371">
              <w:rPr>
                <w:rFonts w:ascii="Cambria" w:hAnsi="Cambria"/>
                <w:sz w:val="20"/>
                <w:szCs w:val="20"/>
              </w:rPr>
              <w:t>biskuit</w:t>
            </w:r>
            <w:proofErr w:type="spellEnd"/>
            <w:r w:rsidR="00120AA0">
              <w:rPr>
                <w:rFonts w:ascii="Cambria" w:hAnsi="Cambria"/>
                <w:sz w:val="20"/>
                <w:szCs w:val="20"/>
              </w:rPr>
              <w:t xml:space="preserve"> yang </w:t>
            </w:r>
            <w:proofErr w:type="spellStart"/>
            <w:r w:rsidR="00120AA0">
              <w:rPr>
                <w:rFonts w:ascii="Cambria" w:hAnsi="Cambria"/>
                <w:sz w:val="20"/>
                <w:szCs w:val="20"/>
              </w:rPr>
              <w:t>dipilih</w:t>
            </w:r>
            <w:proofErr w:type="spellEnd"/>
            <w:r w:rsidR="00120AA0">
              <w:rPr>
                <w:rFonts w:ascii="Cambria" w:hAnsi="Cambria"/>
                <w:sz w:val="20"/>
                <w:szCs w:val="20"/>
              </w:rPr>
              <w:t xml:space="preserve"> </w:t>
            </w:r>
            <w:proofErr w:type="spellStart"/>
            <w:r w:rsidR="00120AA0">
              <w:rPr>
                <w:rFonts w:ascii="Cambria" w:hAnsi="Cambria"/>
                <w:sz w:val="20"/>
                <w:szCs w:val="20"/>
              </w:rPr>
              <w:t>panelis</w:t>
            </w:r>
            <w:proofErr w:type="spellEnd"/>
            <w:r w:rsidR="00120AA0">
              <w:rPr>
                <w:rFonts w:ascii="Cambria" w:hAnsi="Cambria"/>
                <w:sz w:val="20"/>
                <w:szCs w:val="20"/>
              </w:rPr>
              <w:t xml:space="preserve"> yang </w:t>
            </w:r>
            <w:proofErr w:type="spellStart"/>
            <w:r w:rsidR="00120AA0">
              <w:rPr>
                <w:rFonts w:ascii="Cambria" w:hAnsi="Cambria"/>
                <w:sz w:val="20"/>
                <w:szCs w:val="20"/>
              </w:rPr>
              <w:t>mempunyai</w:t>
            </w:r>
            <w:proofErr w:type="spellEnd"/>
            <w:r w:rsidR="00120AA0">
              <w:rPr>
                <w:rFonts w:ascii="Cambria" w:hAnsi="Cambria"/>
                <w:sz w:val="20"/>
                <w:szCs w:val="20"/>
              </w:rPr>
              <w:t xml:space="preserve"> </w:t>
            </w:r>
            <w:proofErr w:type="spellStart"/>
            <w:r w:rsidR="00120AA0">
              <w:rPr>
                <w:rFonts w:ascii="Cambria" w:hAnsi="Cambria"/>
                <w:sz w:val="20"/>
                <w:szCs w:val="20"/>
              </w:rPr>
              <w:t>kadar</w:t>
            </w:r>
            <w:proofErr w:type="spellEnd"/>
            <w:r w:rsidR="00120AA0">
              <w:rPr>
                <w:rFonts w:ascii="Cambria" w:hAnsi="Cambria"/>
                <w:sz w:val="20"/>
                <w:szCs w:val="20"/>
              </w:rPr>
              <w:t xml:space="preserve"> </w:t>
            </w:r>
            <w:proofErr w:type="spellStart"/>
            <w:r w:rsidR="00120AA0">
              <w:rPr>
                <w:rFonts w:ascii="Cambria" w:hAnsi="Cambria"/>
                <w:sz w:val="20"/>
                <w:szCs w:val="20"/>
              </w:rPr>
              <w:t>antioksidan</w:t>
            </w:r>
            <w:proofErr w:type="spellEnd"/>
            <w:r w:rsidR="00120AA0">
              <w:rPr>
                <w:rFonts w:ascii="Cambria" w:hAnsi="Cambria"/>
                <w:sz w:val="20"/>
                <w:szCs w:val="20"/>
              </w:rPr>
              <w:t xml:space="preserve"> </w:t>
            </w:r>
            <w:proofErr w:type="spellStart"/>
            <w:r w:rsidR="00120AA0">
              <w:rPr>
                <w:rFonts w:ascii="Cambria" w:hAnsi="Cambria"/>
                <w:sz w:val="20"/>
                <w:szCs w:val="20"/>
              </w:rPr>
              <w:t>tinggi</w:t>
            </w:r>
            <w:proofErr w:type="spellEnd"/>
            <w:r w:rsidR="00196DC5">
              <w:rPr>
                <w:rFonts w:ascii="Cambria" w:hAnsi="Cambria"/>
                <w:sz w:val="20"/>
                <w:szCs w:val="20"/>
              </w:rPr>
              <w:t xml:space="preserve"> (1374.8 mg/100g) </w:t>
            </w:r>
            <w:r w:rsidR="00120AA0">
              <w:rPr>
                <w:rFonts w:ascii="Cambria" w:hAnsi="Cambria"/>
                <w:sz w:val="20"/>
                <w:szCs w:val="20"/>
              </w:rPr>
              <w:t xml:space="preserve">dan </w:t>
            </w:r>
            <w:proofErr w:type="spellStart"/>
            <w:r w:rsidR="00120AA0">
              <w:rPr>
                <w:rFonts w:ascii="Cambria" w:hAnsi="Cambria"/>
                <w:sz w:val="20"/>
                <w:szCs w:val="20"/>
              </w:rPr>
              <w:t>memenuhi</w:t>
            </w:r>
            <w:proofErr w:type="spellEnd"/>
            <w:r w:rsidR="00120AA0">
              <w:rPr>
                <w:rFonts w:ascii="Cambria" w:hAnsi="Cambria"/>
                <w:sz w:val="20"/>
                <w:szCs w:val="20"/>
              </w:rPr>
              <w:t xml:space="preserve"> </w:t>
            </w:r>
            <w:proofErr w:type="spellStart"/>
            <w:r w:rsidR="00120AA0">
              <w:rPr>
                <w:rFonts w:ascii="Cambria" w:hAnsi="Cambria"/>
                <w:sz w:val="20"/>
                <w:szCs w:val="20"/>
              </w:rPr>
              <w:t>standar</w:t>
            </w:r>
            <w:proofErr w:type="spellEnd"/>
            <w:r w:rsidR="00120AA0">
              <w:rPr>
                <w:rFonts w:ascii="Cambria" w:hAnsi="Cambria"/>
                <w:sz w:val="20"/>
                <w:szCs w:val="20"/>
              </w:rPr>
              <w:t xml:space="preserve"> SNI </w:t>
            </w:r>
            <w:proofErr w:type="spellStart"/>
            <w:r w:rsidR="00120AA0">
              <w:rPr>
                <w:rFonts w:ascii="Cambria" w:hAnsi="Cambria"/>
                <w:sz w:val="20"/>
                <w:szCs w:val="20"/>
              </w:rPr>
              <w:t>biskuit</w:t>
            </w:r>
            <w:proofErr w:type="spellEnd"/>
            <w:r w:rsidR="00120AA0">
              <w:rPr>
                <w:rFonts w:ascii="Cambria" w:hAnsi="Cambria"/>
                <w:sz w:val="20"/>
                <w:szCs w:val="20"/>
              </w:rPr>
              <w:t xml:space="preserve"> (2011). </w:t>
            </w:r>
            <w:proofErr w:type="spellStart"/>
            <w:r w:rsidR="0062028A">
              <w:rPr>
                <w:rFonts w:ascii="Cambria" w:hAnsi="Cambria"/>
                <w:sz w:val="20"/>
                <w:szCs w:val="20"/>
              </w:rPr>
              <w:t>Biskuit</w:t>
            </w:r>
            <w:proofErr w:type="spellEnd"/>
            <w:r w:rsidR="0062028A">
              <w:rPr>
                <w:rFonts w:ascii="Cambria" w:hAnsi="Cambria"/>
                <w:sz w:val="20"/>
                <w:szCs w:val="20"/>
              </w:rPr>
              <w:t xml:space="preserve"> </w:t>
            </w:r>
            <w:proofErr w:type="spellStart"/>
            <w:r w:rsidR="0062028A">
              <w:rPr>
                <w:rFonts w:ascii="Cambria" w:hAnsi="Cambria"/>
                <w:sz w:val="20"/>
                <w:szCs w:val="20"/>
              </w:rPr>
              <w:t>ini</w:t>
            </w:r>
            <w:proofErr w:type="spellEnd"/>
            <w:r w:rsidR="0062028A">
              <w:rPr>
                <w:rFonts w:ascii="Cambria" w:hAnsi="Cambria"/>
                <w:sz w:val="20"/>
                <w:szCs w:val="20"/>
              </w:rPr>
              <w:t xml:space="preserve"> </w:t>
            </w:r>
            <w:proofErr w:type="spellStart"/>
            <w:r w:rsidR="008E377C" w:rsidRPr="000747D2">
              <w:rPr>
                <w:rFonts w:ascii="Cambria" w:hAnsi="Cambria"/>
                <w:sz w:val="20"/>
                <w:szCs w:val="20"/>
              </w:rPr>
              <w:t>memiliki</w:t>
            </w:r>
            <w:proofErr w:type="spellEnd"/>
            <w:r w:rsidR="008E377C" w:rsidRPr="000747D2">
              <w:rPr>
                <w:rFonts w:ascii="Cambria" w:hAnsi="Cambria"/>
                <w:sz w:val="20"/>
                <w:szCs w:val="20"/>
              </w:rPr>
              <w:t xml:space="preserve"> </w:t>
            </w:r>
            <w:proofErr w:type="spellStart"/>
            <w:r w:rsidR="008E377C" w:rsidRPr="000747D2">
              <w:rPr>
                <w:rFonts w:ascii="Cambria" w:hAnsi="Cambria"/>
                <w:sz w:val="20"/>
                <w:szCs w:val="20"/>
              </w:rPr>
              <w:t>potensi</w:t>
            </w:r>
            <w:proofErr w:type="spellEnd"/>
            <w:r w:rsidR="008E377C" w:rsidRPr="000747D2">
              <w:rPr>
                <w:rFonts w:ascii="Cambria" w:hAnsi="Cambria"/>
                <w:sz w:val="20"/>
                <w:szCs w:val="20"/>
              </w:rPr>
              <w:t xml:space="preserve"> </w:t>
            </w:r>
            <w:proofErr w:type="spellStart"/>
            <w:r w:rsidR="008E377C" w:rsidRPr="000747D2">
              <w:rPr>
                <w:rFonts w:ascii="Cambria" w:hAnsi="Cambria"/>
                <w:sz w:val="20"/>
                <w:szCs w:val="20"/>
              </w:rPr>
              <w:t>untuk</w:t>
            </w:r>
            <w:proofErr w:type="spellEnd"/>
            <w:r w:rsidR="008E377C" w:rsidRPr="000747D2">
              <w:rPr>
                <w:rFonts w:ascii="Cambria" w:hAnsi="Cambria"/>
                <w:sz w:val="20"/>
                <w:szCs w:val="20"/>
              </w:rPr>
              <w:t xml:space="preserve"> </w:t>
            </w:r>
            <w:proofErr w:type="spellStart"/>
            <w:r w:rsidR="008E377C" w:rsidRPr="000747D2">
              <w:rPr>
                <w:rFonts w:ascii="Cambria" w:hAnsi="Cambria"/>
                <w:sz w:val="20"/>
                <w:szCs w:val="20"/>
              </w:rPr>
              <w:t>dikembangkan</w:t>
            </w:r>
            <w:proofErr w:type="spellEnd"/>
            <w:r w:rsidR="008E377C" w:rsidRPr="000747D2">
              <w:rPr>
                <w:rFonts w:ascii="Cambria" w:hAnsi="Cambria"/>
                <w:sz w:val="20"/>
                <w:szCs w:val="20"/>
              </w:rPr>
              <w:t xml:space="preserve"> </w:t>
            </w:r>
            <w:proofErr w:type="spellStart"/>
            <w:r w:rsidR="008E377C" w:rsidRPr="000747D2">
              <w:rPr>
                <w:rFonts w:ascii="Cambria" w:hAnsi="Cambria"/>
                <w:sz w:val="20"/>
                <w:szCs w:val="20"/>
              </w:rPr>
              <w:t>sebagai</w:t>
            </w:r>
            <w:proofErr w:type="spellEnd"/>
            <w:r w:rsidR="008E377C" w:rsidRPr="000747D2">
              <w:rPr>
                <w:rFonts w:ascii="Cambria" w:hAnsi="Cambria"/>
                <w:sz w:val="20"/>
                <w:szCs w:val="20"/>
              </w:rPr>
              <w:t xml:space="preserve"> </w:t>
            </w:r>
            <w:proofErr w:type="spellStart"/>
            <w:r w:rsidR="008E377C" w:rsidRPr="000747D2">
              <w:rPr>
                <w:rFonts w:ascii="Cambria" w:hAnsi="Cambria"/>
                <w:sz w:val="20"/>
                <w:szCs w:val="20"/>
              </w:rPr>
              <w:t>alternatif</w:t>
            </w:r>
            <w:proofErr w:type="spellEnd"/>
            <w:r w:rsidR="008E377C" w:rsidRPr="000747D2">
              <w:rPr>
                <w:rFonts w:ascii="Cambria" w:hAnsi="Cambria"/>
                <w:sz w:val="20"/>
                <w:szCs w:val="20"/>
              </w:rPr>
              <w:t xml:space="preserve"> </w:t>
            </w:r>
            <w:proofErr w:type="spellStart"/>
            <w:r w:rsidR="008E377C" w:rsidRPr="000747D2">
              <w:rPr>
                <w:rFonts w:ascii="Cambria" w:hAnsi="Cambria"/>
                <w:sz w:val="20"/>
                <w:szCs w:val="20"/>
              </w:rPr>
              <w:t>pangan</w:t>
            </w:r>
            <w:proofErr w:type="spellEnd"/>
            <w:r w:rsidR="008E377C" w:rsidRPr="000747D2">
              <w:rPr>
                <w:rFonts w:ascii="Cambria" w:hAnsi="Cambria"/>
                <w:sz w:val="20"/>
                <w:szCs w:val="20"/>
              </w:rPr>
              <w:t xml:space="preserve"> </w:t>
            </w:r>
            <w:proofErr w:type="spellStart"/>
            <w:r w:rsidR="008E377C" w:rsidRPr="000747D2">
              <w:rPr>
                <w:rFonts w:ascii="Cambria" w:hAnsi="Cambria"/>
                <w:sz w:val="20"/>
                <w:szCs w:val="20"/>
              </w:rPr>
              <w:t>fungsional</w:t>
            </w:r>
            <w:proofErr w:type="spellEnd"/>
            <w:r w:rsidR="008E377C" w:rsidRPr="000747D2">
              <w:rPr>
                <w:rFonts w:ascii="Cambria" w:hAnsi="Cambria"/>
                <w:sz w:val="20"/>
                <w:szCs w:val="20"/>
              </w:rPr>
              <w:t xml:space="preserve"> </w:t>
            </w:r>
            <w:proofErr w:type="spellStart"/>
            <w:r w:rsidR="008E377C" w:rsidRPr="000747D2">
              <w:rPr>
                <w:rFonts w:ascii="Cambria" w:hAnsi="Cambria"/>
                <w:sz w:val="20"/>
                <w:szCs w:val="20"/>
              </w:rPr>
              <w:t>pencegah</w:t>
            </w:r>
            <w:proofErr w:type="spellEnd"/>
            <w:r w:rsidR="008E377C" w:rsidRPr="000747D2">
              <w:rPr>
                <w:rFonts w:ascii="Cambria" w:hAnsi="Cambria"/>
                <w:sz w:val="20"/>
                <w:szCs w:val="20"/>
              </w:rPr>
              <w:t xml:space="preserve"> </w:t>
            </w:r>
            <w:proofErr w:type="spellStart"/>
            <w:r w:rsidR="008E377C" w:rsidRPr="000747D2">
              <w:rPr>
                <w:rFonts w:ascii="Cambria" w:hAnsi="Cambria"/>
                <w:sz w:val="20"/>
                <w:szCs w:val="20"/>
              </w:rPr>
              <w:t>infeksi</w:t>
            </w:r>
            <w:proofErr w:type="spellEnd"/>
            <w:r w:rsidR="008E377C" w:rsidRPr="000747D2">
              <w:rPr>
                <w:rFonts w:ascii="Cambria" w:hAnsi="Cambria"/>
                <w:sz w:val="20"/>
                <w:szCs w:val="20"/>
              </w:rPr>
              <w:t xml:space="preserve"> covid-19.</w:t>
            </w:r>
          </w:p>
          <w:p w14:paraId="59E04EE8" w14:textId="6FE08596" w:rsidR="00C72575" w:rsidRPr="0066515B" w:rsidRDefault="00FA4AE5" w:rsidP="00134371">
            <w:pPr>
              <w:pBdr>
                <w:top w:val="nil"/>
                <w:left w:val="nil"/>
                <w:bottom w:val="nil"/>
                <w:right w:val="nil"/>
                <w:between w:val="nil"/>
              </w:pBdr>
              <w:shd w:val="clear" w:color="auto" w:fill="FFFFFF" w:themeFill="background1"/>
              <w:ind w:left="96" w:right="-115"/>
              <w:jc w:val="both"/>
              <w:rPr>
                <w:rFonts w:ascii="Cambria" w:eastAsia="Cambria" w:hAnsi="Cambria" w:cs="Cambria"/>
                <w:color w:val="000000"/>
                <w:sz w:val="20"/>
                <w:szCs w:val="20"/>
              </w:rPr>
            </w:pPr>
            <w:r w:rsidRPr="00134371">
              <w:rPr>
                <w:rFonts w:ascii="Cambria" w:eastAsia="Cambria" w:hAnsi="Cambria" w:cs="Cambria"/>
                <w:b/>
                <w:color w:val="000000"/>
                <w:sz w:val="20"/>
                <w:szCs w:val="20"/>
              </w:rPr>
              <w:lastRenderedPageBreak/>
              <w:t xml:space="preserve">Kata Kunci: </w:t>
            </w:r>
            <w:proofErr w:type="spellStart"/>
            <w:r w:rsidR="005259FA">
              <w:rPr>
                <w:rFonts w:ascii="Cambria" w:eastAsia="Cambria" w:hAnsi="Cambria" w:cs="Cambria"/>
                <w:bCs/>
                <w:color w:val="000000"/>
                <w:sz w:val="20"/>
                <w:szCs w:val="20"/>
              </w:rPr>
              <w:t>A</w:t>
            </w:r>
            <w:r w:rsidR="00813104" w:rsidRPr="00134371">
              <w:rPr>
                <w:rFonts w:ascii="Cambria" w:eastAsia="Cambria" w:hAnsi="Cambria" w:cs="Cambria"/>
                <w:bCs/>
                <w:color w:val="000000"/>
                <w:sz w:val="20"/>
                <w:szCs w:val="20"/>
              </w:rPr>
              <w:t>ntioksidan</w:t>
            </w:r>
            <w:proofErr w:type="spellEnd"/>
            <w:r w:rsidR="00813104" w:rsidRPr="00134371">
              <w:rPr>
                <w:rFonts w:ascii="Cambria" w:eastAsia="Cambria" w:hAnsi="Cambria" w:cs="Cambria"/>
                <w:bCs/>
                <w:color w:val="000000"/>
                <w:sz w:val="20"/>
                <w:szCs w:val="20"/>
              </w:rPr>
              <w:t xml:space="preserve">, </w:t>
            </w:r>
            <w:proofErr w:type="spellStart"/>
            <w:r w:rsidR="008E377C">
              <w:rPr>
                <w:rFonts w:ascii="Cambria" w:eastAsia="Cambria" w:hAnsi="Cambria" w:cs="Cambria"/>
                <w:color w:val="000000"/>
                <w:sz w:val="20"/>
                <w:szCs w:val="20"/>
              </w:rPr>
              <w:t>b</w:t>
            </w:r>
            <w:r w:rsidR="00813104" w:rsidRPr="00134371">
              <w:rPr>
                <w:rFonts w:ascii="Cambria" w:eastAsia="Cambria" w:hAnsi="Cambria" w:cs="Cambria"/>
                <w:color w:val="000000"/>
                <w:sz w:val="20"/>
                <w:szCs w:val="20"/>
              </w:rPr>
              <w:t>iskuit</w:t>
            </w:r>
            <w:proofErr w:type="spellEnd"/>
            <w:r w:rsidR="00813104" w:rsidRPr="00134371">
              <w:rPr>
                <w:rFonts w:ascii="Cambria" w:eastAsia="Cambria" w:hAnsi="Cambria" w:cs="Cambria"/>
                <w:color w:val="000000"/>
                <w:sz w:val="20"/>
                <w:szCs w:val="20"/>
              </w:rPr>
              <w:t xml:space="preserve">, </w:t>
            </w:r>
            <w:proofErr w:type="spellStart"/>
            <w:r w:rsidR="00813104" w:rsidRPr="00134371">
              <w:rPr>
                <w:rFonts w:ascii="Cambria" w:eastAsia="Cambria" w:hAnsi="Cambria" w:cs="Cambria"/>
                <w:color w:val="000000"/>
                <w:sz w:val="20"/>
                <w:szCs w:val="20"/>
              </w:rPr>
              <w:t>pangan</w:t>
            </w:r>
            <w:proofErr w:type="spellEnd"/>
            <w:r w:rsidR="00813104" w:rsidRPr="00134371">
              <w:rPr>
                <w:rFonts w:ascii="Cambria" w:eastAsia="Cambria" w:hAnsi="Cambria" w:cs="Cambria"/>
                <w:color w:val="000000"/>
                <w:sz w:val="20"/>
                <w:szCs w:val="20"/>
              </w:rPr>
              <w:t xml:space="preserve"> </w:t>
            </w:r>
            <w:proofErr w:type="spellStart"/>
            <w:r w:rsidR="00813104" w:rsidRPr="00134371">
              <w:rPr>
                <w:rFonts w:ascii="Cambria" w:eastAsia="Cambria" w:hAnsi="Cambria" w:cs="Cambria"/>
                <w:color w:val="000000"/>
                <w:sz w:val="20"/>
                <w:szCs w:val="20"/>
              </w:rPr>
              <w:t>fungsional</w:t>
            </w:r>
            <w:proofErr w:type="spellEnd"/>
            <w:r w:rsidR="00813104" w:rsidRPr="0066515B">
              <w:rPr>
                <w:rFonts w:ascii="Cambria" w:eastAsia="Cambria" w:hAnsi="Cambria" w:cs="Cambria"/>
                <w:color w:val="000000"/>
                <w:sz w:val="20"/>
                <w:szCs w:val="20"/>
              </w:rPr>
              <w:t>,</w:t>
            </w:r>
            <w:r w:rsidR="003165E6">
              <w:rPr>
                <w:rFonts w:ascii="Cambria" w:eastAsia="Cambria" w:hAnsi="Cambria" w:cs="Cambria"/>
                <w:color w:val="000000"/>
                <w:sz w:val="20"/>
                <w:szCs w:val="20"/>
              </w:rPr>
              <w:t xml:space="preserve"> </w:t>
            </w:r>
            <w:proofErr w:type="spellStart"/>
            <w:r w:rsidR="003165E6">
              <w:rPr>
                <w:rFonts w:ascii="Cambria" w:eastAsia="Cambria" w:hAnsi="Cambria" w:cs="Cambria"/>
                <w:color w:val="000000"/>
                <w:sz w:val="20"/>
                <w:szCs w:val="20"/>
              </w:rPr>
              <w:t>rempah</w:t>
            </w:r>
            <w:proofErr w:type="spellEnd"/>
            <w:r w:rsidR="002A402E">
              <w:rPr>
                <w:rFonts w:ascii="Cambria" w:eastAsia="Cambria" w:hAnsi="Cambria" w:cs="Cambria"/>
                <w:color w:val="000000"/>
                <w:sz w:val="20"/>
                <w:szCs w:val="20"/>
              </w:rPr>
              <w:t>, covid-19</w:t>
            </w:r>
            <w:bookmarkEnd w:id="3"/>
          </w:p>
        </w:tc>
      </w:tr>
    </w:tbl>
    <w:p w14:paraId="59E04EEA" w14:textId="77777777" w:rsidR="00C72575" w:rsidRDefault="00C72575">
      <w:pPr>
        <w:pBdr>
          <w:top w:val="nil"/>
          <w:left w:val="nil"/>
          <w:bottom w:val="nil"/>
          <w:right w:val="nil"/>
          <w:between w:val="nil"/>
        </w:pBdr>
        <w:spacing w:after="0" w:line="240" w:lineRule="auto"/>
        <w:ind w:right="-2"/>
        <w:jc w:val="both"/>
        <w:rPr>
          <w:rFonts w:ascii="Cambria" w:eastAsia="Cambria" w:hAnsi="Cambria" w:cs="Cambria"/>
          <w:color w:val="000000"/>
          <w:sz w:val="24"/>
          <w:szCs w:val="24"/>
        </w:rPr>
      </w:pPr>
    </w:p>
    <w:p w14:paraId="59E04EEB" w14:textId="540D300D" w:rsidR="0062028A" w:rsidRDefault="0062028A">
      <w:pPr>
        <w:spacing w:after="0" w:line="240" w:lineRule="auto"/>
        <w:sectPr w:rsidR="0062028A">
          <w:headerReference w:type="even" r:id="rId15"/>
          <w:headerReference w:type="default" r:id="rId16"/>
          <w:footerReference w:type="first" r:id="rId17"/>
          <w:pgSz w:w="11906" w:h="16838"/>
          <w:pgMar w:top="1701" w:right="1134" w:bottom="1134" w:left="1134" w:header="720" w:footer="720" w:gutter="0"/>
          <w:pgNumType w:start="1"/>
          <w:cols w:space="720"/>
          <w:titlePg/>
        </w:sectPr>
      </w:pPr>
    </w:p>
    <w:p w14:paraId="59E04EEC" w14:textId="77777777" w:rsidR="00C72575" w:rsidRDefault="00FA4AE5">
      <w:pPr>
        <w:pStyle w:val="Heading1"/>
        <w:spacing w:before="0" w:after="120" w:line="240" w:lineRule="auto"/>
        <w:rPr>
          <w:rFonts w:ascii="Cambria" w:eastAsia="Cambria" w:hAnsi="Cambria" w:cs="Cambria"/>
          <w:b/>
          <w:color w:val="000000"/>
          <w:sz w:val="28"/>
          <w:szCs w:val="28"/>
        </w:rPr>
      </w:pPr>
      <w:commentRangeStart w:id="10"/>
      <w:proofErr w:type="spellStart"/>
      <w:r>
        <w:rPr>
          <w:rFonts w:ascii="Cambria" w:eastAsia="Cambria" w:hAnsi="Cambria" w:cs="Cambria"/>
          <w:b/>
          <w:color w:val="000000"/>
          <w:sz w:val="28"/>
          <w:szCs w:val="28"/>
        </w:rPr>
        <w:t>Pendahuluan</w:t>
      </w:r>
      <w:commentRangeEnd w:id="10"/>
      <w:proofErr w:type="spellEnd"/>
      <w:r w:rsidR="005259FA">
        <w:rPr>
          <w:rStyle w:val="CommentReference"/>
          <w:rFonts w:ascii="Calibri" w:eastAsia="Calibri" w:hAnsi="Calibri" w:cs="Calibri"/>
          <w:color w:val="auto"/>
        </w:rPr>
        <w:commentReference w:id="10"/>
      </w:r>
    </w:p>
    <w:p w14:paraId="07ECFD67" w14:textId="4D73B91A" w:rsidR="00BE0D55" w:rsidRPr="00BE0D55" w:rsidRDefault="00316109" w:rsidP="00BE0D55">
      <w:pPr>
        <w:spacing w:after="0" w:line="240" w:lineRule="auto"/>
        <w:ind w:firstLine="720"/>
        <w:jc w:val="both"/>
        <w:rPr>
          <w:rFonts w:ascii="Cambria" w:hAnsi="Cambria" w:cstheme="majorHAnsi"/>
        </w:rPr>
      </w:pPr>
      <w:r w:rsidRPr="00BE0D55">
        <w:rPr>
          <w:rFonts w:ascii="Cambria" w:hAnsi="Cambria" w:cstheme="majorHAnsi"/>
        </w:rPr>
        <w:t>WHO</w:t>
      </w:r>
      <w:r>
        <w:rPr>
          <w:rFonts w:ascii="Cambria" w:hAnsi="Cambria" w:cstheme="majorHAnsi"/>
        </w:rPr>
        <w:t xml:space="preserve"> </w:t>
      </w:r>
      <w:proofErr w:type="spellStart"/>
      <w:r>
        <w:rPr>
          <w:rFonts w:ascii="Cambria" w:hAnsi="Cambria" w:cstheme="majorHAnsi"/>
        </w:rPr>
        <w:t>menetapkan</w:t>
      </w:r>
      <w:proofErr w:type="spellEnd"/>
      <w:r w:rsidRPr="00BE0D55">
        <w:rPr>
          <w:rFonts w:ascii="Cambria" w:hAnsi="Cambria" w:cstheme="majorHAnsi"/>
        </w:rPr>
        <w:t xml:space="preserve"> </w:t>
      </w:r>
      <w:r w:rsidR="00BE0D55" w:rsidRPr="00BE0D55">
        <w:rPr>
          <w:rFonts w:ascii="Cambria" w:hAnsi="Cambria" w:cstheme="majorHAnsi"/>
          <w:i/>
        </w:rPr>
        <w:t>Corona Virus Disease</w:t>
      </w:r>
      <w:r w:rsidR="00BE0D55" w:rsidRPr="00BE0D55">
        <w:rPr>
          <w:rFonts w:ascii="Cambria" w:hAnsi="Cambria" w:cstheme="majorHAnsi"/>
        </w:rPr>
        <w:t xml:space="preserve"> 2019 </w:t>
      </w:r>
      <w:proofErr w:type="spellStart"/>
      <w:r w:rsidR="00BE0D55" w:rsidRPr="00BE0D55">
        <w:rPr>
          <w:rFonts w:ascii="Cambria" w:hAnsi="Cambria" w:cstheme="majorHAnsi"/>
        </w:rPr>
        <w:t>atau</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disebut</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dengan</w:t>
      </w:r>
      <w:proofErr w:type="spellEnd"/>
      <w:r w:rsidR="00BE0D55" w:rsidRPr="00BE0D55">
        <w:rPr>
          <w:rFonts w:ascii="Cambria" w:hAnsi="Cambria" w:cstheme="majorHAnsi"/>
        </w:rPr>
        <w:t xml:space="preserve"> Covid-19 </w:t>
      </w:r>
      <w:proofErr w:type="spellStart"/>
      <w:r w:rsidR="00BE0D55" w:rsidRPr="00BE0D55">
        <w:rPr>
          <w:rFonts w:ascii="Cambria" w:hAnsi="Cambria" w:cstheme="majorHAnsi"/>
        </w:rPr>
        <w:t>sebagai</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pandemi</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sejak</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tanggal</w:t>
      </w:r>
      <w:proofErr w:type="spellEnd"/>
      <w:r w:rsidR="00BE0D55" w:rsidRPr="00BE0D55">
        <w:rPr>
          <w:rFonts w:ascii="Cambria" w:hAnsi="Cambria" w:cstheme="majorHAnsi"/>
        </w:rPr>
        <w:t xml:space="preserve">  11 Maret 2020</w:t>
      </w:r>
      <w:r w:rsidR="00077540">
        <w:rPr>
          <w:rFonts w:ascii="Cambria" w:hAnsi="Cambria" w:cstheme="majorHAnsi"/>
        </w:rPr>
        <w:t xml:space="preserve"> </w:t>
      </w:r>
      <w:proofErr w:type="spellStart"/>
      <w:r w:rsidR="00077540">
        <w:rPr>
          <w:rFonts w:ascii="Cambria" w:hAnsi="Cambria" w:cstheme="majorHAnsi"/>
        </w:rPr>
        <w:t>hingga</w:t>
      </w:r>
      <w:proofErr w:type="spellEnd"/>
      <w:r w:rsidR="00077540">
        <w:rPr>
          <w:rFonts w:ascii="Cambria" w:hAnsi="Cambria" w:cstheme="majorHAnsi"/>
        </w:rPr>
        <w:t xml:space="preserve"> </w:t>
      </w:r>
      <w:proofErr w:type="spellStart"/>
      <w:r w:rsidR="00077540">
        <w:rPr>
          <w:rFonts w:ascii="Cambria" w:hAnsi="Cambria" w:cstheme="majorHAnsi"/>
        </w:rPr>
        <w:t>saat</w:t>
      </w:r>
      <w:proofErr w:type="spellEnd"/>
      <w:r w:rsidR="00077540">
        <w:rPr>
          <w:rFonts w:ascii="Cambria" w:hAnsi="Cambria" w:cstheme="majorHAnsi"/>
        </w:rPr>
        <w:t xml:space="preserve"> </w:t>
      </w:r>
      <w:proofErr w:type="spellStart"/>
      <w:r w:rsidR="00077540">
        <w:rPr>
          <w:rFonts w:ascii="Cambria" w:hAnsi="Cambria" w:cstheme="majorHAnsi"/>
        </w:rPr>
        <w:t>ini</w:t>
      </w:r>
      <w:proofErr w:type="spellEnd"/>
      <w:r w:rsidR="00311AE3">
        <w:rPr>
          <w:rFonts w:ascii="Cambria" w:hAnsi="Cambria" w:cstheme="majorHAnsi"/>
        </w:rPr>
        <w:t xml:space="preserve"> </w:t>
      </w:r>
      <w:r w:rsidR="00311AE3">
        <w:rPr>
          <w:rFonts w:ascii="Cambria" w:hAnsi="Cambria" w:cstheme="majorHAnsi"/>
        </w:rPr>
        <w:fldChar w:fldCharType="begin" w:fldLock="1"/>
      </w:r>
      <w:r w:rsidR="0052342D">
        <w:rPr>
          <w:rFonts w:ascii="Cambria" w:hAnsi="Cambria" w:cstheme="majorHAnsi"/>
        </w:rPr>
        <w:instrText>ADDIN CSL_CITATION {"citationItems":[{"id":"ITEM-1","itemData":{"author":[{"dropping-particle":"","family":"WHO","given":"","non-dropping-particle":"","parse-names":false,"suffix":""}],"id":"ITEM-1","issued":{"date-parts":[["2020"]]},"title":"WHO Director-General's opening remarks at the media briefing on COVID-19 - 11 March 2020","type":"legislation"},"uris":["http://www.mendeley.com/documents/?uuid=0d4a8ea3-7aa8-47c8-aa04-be8d17462eb2"]}],"mendeley":{"formattedCitation":"(WHO Director-General’s Opening Remarks at the Media Briefing on COVID-19 - 11 March 2020, 2020)","manualFormatting":"(WHO, 2020)","plainTextFormattedCitation":"(WHO Director-General’s Opening Remarks at the Media Briefing on COVID-19 - 11 March 2020, 2020)","previouslyFormattedCitation":"(WHO Director-General’s Opening Remarks at the Media Briefing on COVID-19 - 11 March 2020, 2020)"},"properties":{"noteIndex":0},"schema":"https://github.com/citation-style-language/schema/raw/master/csl-citation.json"}</w:instrText>
      </w:r>
      <w:r w:rsidR="00311AE3">
        <w:rPr>
          <w:rFonts w:ascii="Cambria" w:hAnsi="Cambria" w:cstheme="majorHAnsi"/>
        </w:rPr>
        <w:fldChar w:fldCharType="separate"/>
      </w:r>
      <w:r w:rsidR="00311AE3" w:rsidRPr="00311AE3">
        <w:rPr>
          <w:rFonts w:ascii="Cambria" w:hAnsi="Cambria" w:cstheme="majorHAnsi"/>
          <w:noProof/>
        </w:rPr>
        <w:t>(WHO, 2020)</w:t>
      </w:r>
      <w:r w:rsidR="00311AE3">
        <w:rPr>
          <w:rFonts w:ascii="Cambria" w:hAnsi="Cambria" w:cstheme="majorHAnsi"/>
        </w:rPr>
        <w:fldChar w:fldCharType="end"/>
      </w:r>
      <w:r w:rsidR="00BE0D55" w:rsidRPr="00BE0D55">
        <w:rPr>
          <w:rFonts w:ascii="Cambria" w:hAnsi="Cambria" w:cstheme="majorHAnsi"/>
        </w:rPr>
        <w:t>.</w:t>
      </w:r>
      <w:r w:rsidR="00BE0D55">
        <w:rPr>
          <w:rFonts w:ascii="Cambria" w:hAnsi="Cambria" w:cstheme="majorHAnsi"/>
        </w:rPr>
        <w:t xml:space="preserve"> </w:t>
      </w:r>
      <w:r w:rsidR="00BE0D55" w:rsidRPr="00BE0D55">
        <w:rPr>
          <w:rFonts w:ascii="Cambria" w:hAnsi="Cambria" w:cstheme="majorHAnsi"/>
        </w:rPr>
        <w:t xml:space="preserve">Upaya </w:t>
      </w:r>
      <w:proofErr w:type="spellStart"/>
      <w:r w:rsidR="00BE0D55" w:rsidRPr="00BE0D55">
        <w:rPr>
          <w:rFonts w:ascii="Cambria" w:hAnsi="Cambria" w:cstheme="majorHAnsi"/>
        </w:rPr>
        <w:t>pencegahan</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penyebaran</w:t>
      </w:r>
      <w:proofErr w:type="spellEnd"/>
      <w:r w:rsidR="00BE0D55" w:rsidRPr="00BE0D55">
        <w:rPr>
          <w:rFonts w:ascii="Cambria" w:hAnsi="Cambria" w:cstheme="majorHAnsi"/>
        </w:rPr>
        <w:t xml:space="preserve"> virus </w:t>
      </w:r>
      <w:r w:rsidR="000669BD">
        <w:rPr>
          <w:rFonts w:ascii="Cambria" w:hAnsi="Cambria" w:cstheme="majorHAnsi"/>
        </w:rPr>
        <w:t>c</w:t>
      </w:r>
      <w:r w:rsidR="00BE0D55" w:rsidRPr="00BE0D55">
        <w:rPr>
          <w:rFonts w:ascii="Cambria" w:hAnsi="Cambria" w:cstheme="majorHAnsi"/>
        </w:rPr>
        <w:t xml:space="preserve">orona </w:t>
      </w:r>
      <w:proofErr w:type="spellStart"/>
      <w:r w:rsidR="00BE0D55" w:rsidRPr="00BE0D55">
        <w:rPr>
          <w:rFonts w:ascii="Cambria" w:hAnsi="Cambria" w:cstheme="majorHAnsi"/>
        </w:rPr>
        <w:t>selain</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dengan</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menerapkan</w:t>
      </w:r>
      <w:proofErr w:type="spellEnd"/>
      <w:r w:rsidR="00BE0D55" w:rsidRPr="00BE0D55">
        <w:rPr>
          <w:rFonts w:ascii="Cambria" w:hAnsi="Cambria" w:cstheme="majorHAnsi"/>
        </w:rPr>
        <w:t xml:space="preserve"> protocol </w:t>
      </w:r>
      <w:proofErr w:type="spellStart"/>
      <w:r w:rsidR="00BE0D55" w:rsidRPr="00BE0D55">
        <w:rPr>
          <w:rFonts w:ascii="Cambria" w:hAnsi="Cambria" w:cstheme="majorHAnsi"/>
        </w:rPr>
        <w:t>kesehatan</w:t>
      </w:r>
      <w:proofErr w:type="spellEnd"/>
      <w:r w:rsidR="00BE0D55" w:rsidRPr="00BE0D55">
        <w:rPr>
          <w:rFonts w:ascii="Cambria" w:hAnsi="Cambria" w:cstheme="majorHAnsi"/>
        </w:rPr>
        <w:t xml:space="preserve"> juga </w:t>
      </w:r>
      <w:proofErr w:type="spellStart"/>
      <w:r w:rsidR="00BE0D55" w:rsidRPr="00BE0D55">
        <w:rPr>
          <w:rFonts w:ascii="Cambria" w:hAnsi="Cambria" w:cstheme="majorHAnsi"/>
        </w:rPr>
        <w:t>perlu</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meningkatkan</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derajat</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kesehatan</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masyarakat</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dengan</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mengkampanyekan</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konsumsi</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makanan</w:t>
      </w:r>
      <w:proofErr w:type="spellEnd"/>
      <w:r w:rsidR="00BE0D55" w:rsidRPr="00BE0D55">
        <w:rPr>
          <w:rFonts w:ascii="Cambria" w:hAnsi="Cambria" w:cstheme="majorHAnsi"/>
        </w:rPr>
        <w:t xml:space="preserve"> yang </w:t>
      </w:r>
      <w:proofErr w:type="spellStart"/>
      <w:r w:rsidR="00BE0D55" w:rsidRPr="00BE0D55">
        <w:rPr>
          <w:rFonts w:ascii="Cambria" w:hAnsi="Cambria" w:cstheme="majorHAnsi"/>
        </w:rPr>
        <w:t>beragam</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bergizi</w:t>
      </w:r>
      <w:proofErr w:type="spellEnd"/>
      <w:r w:rsidR="00BE0D55" w:rsidRPr="00BE0D55">
        <w:rPr>
          <w:rFonts w:ascii="Cambria" w:hAnsi="Cambria" w:cstheme="majorHAnsi"/>
        </w:rPr>
        <w:t xml:space="preserve"> dan </w:t>
      </w:r>
      <w:proofErr w:type="spellStart"/>
      <w:r w:rsidR="00BE0D55" w:rsidRPr="00BE0D55">
        <w:rPr>
          <w:rFonts w:ascii="Cambria" w:hAnsi="Cambria" w:cstheme="majorHAnsi"/>
        </w:rPr>
        <w:t>seimbang</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Sesuai</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dengan</w:t>
      </w:r>
      <w:proofErr w:type="spellEnd"/>
      <w:r w:rsidR="00BE0D55" w:rsidRPr="00BE0D55">
        <w:rPr>
          <w:rFonts w:ascii="Cambria" w:hAnsi="Cambria" w:cstheme="majorHAnsi"/>
        </w:rPr>
        <w:t xml:space="preserve"> </w:t>
      </w:r>
      <w:r w:rsidR="00BE0D55" w:rsidRPr="0052342D">
        <w:rPr>
          <w:rFonts w:ascii="Cambria" w:hAnsi="Cambria" w:cstheme="majorHAnsi"/>
          <w:i/>
          <w:iCs/>
        </w:rPr>
        <w:t>framework</w:t>
      </w:r>
      <w:r w:rsidR="00BE0D55" w:rsidRPr="00BE0D55">
        <w:rPr>
          <w:rFonts w:ascii="Cambria" w:hAnsi="Cambria" w:cstheme="majorHAnsi"/>
        </w:rPr>
        <w:t xml:space="preserve"> UNICEF </w:t>
      </w:r>
      <w:proofErr w:type="spellStart"/>
      <w:r w:rsidR="00BE0D55" w:rsidRPr="00BE0D55">
        <w:rPr>
          <w:rFonts w:ascii="Cambria" w:hAnsi="Cambria" w:cstheme="majorHAnsi"/>
        </w:rPr>
        <w:t>bahwa</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kejadian</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sakit</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dapat</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diakibatkan</w:t>
      </w:r>
      <w:proofErr w:type="spellEnd"/>
      <w:r w:rsidR="00BE0D55" w:rsidRPr="00BE0D55">
        <w:rPr>
          <w:rFonts w:ascii="Cambria" w:hAnsi="Cambria" w:cstheme="majorHAnsi"/>
        </w:rPr>
        <w:t xml:space="preserve"> oleh </w:t>
      </w:r>
      <w:proofErr w:type="spellStart"/>
      <w:r w:rsidR="00BE0D55" w:rsidRPr="00BE0D55">
        <w:rPr>
          <w:rFonts w:ascii="Cambria" w:hAnsi="Cambria" w:cstheme="majorHAnsi"/>
        </w:rPr>
        <w:t>asupan</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gizi</w:t>
      </w:r>
      <w:proofErr w:type="spellEnd"/>
      <w:r w:rsidR="00BE0D55" w:rsidRPr="00BE0D55">
        <w:rPr>
          <w:rFonts w:ascii="Cambria" w:hAnsi="Cambria" w:cstheme="majorHAnsi"/>
        </w:rPr>
        <w:t xml:space="preserve"> yang </w:t>
      </w:r>
      <w:proofErr w:type="spellStart"/>
      <w:r w:rsidR="00BE0D55" w:rsidRPr="00BE0D55">
        <w:rPr>
          <w:rFonts w:ascii="Cambria" w:hAnsi="Cambria" w:cstheme="majorHAnsi"/>
        </w:rPr>
        <w:t>kurang</w:t>
      </w:r>
      <w:proofErr w:type="spellEnd"/>
      <w:r w:rsidR="00BE0D55" w:rsidRPr="00BE0D55">
        <w:rPr>
          <w:rFonts w:ascii="Cambria" w:hAnsi="Cambria" w:cstheme="majorHAnsi"/>
        </w:rPr>
        <w:t xml:space="preserve"> dan </w:t>
      </w:r>
      <w:proofErr w:type="spellStart"/>
      <w:r w:rsidR="00BE0D55" w:rsidRPr="00BE0D55">
        <w:rPr>
          <w:rFonts w:ascii="Cambria" w:hAnsi="Cambria" w:cstheme="majorHAnsi"/>
        </w:rPr>
        <w:t>atau</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akibat</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dari</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kurangnya</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penerapan</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hidup</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bersih</w:t>
      </w:r>
      <w:proofErr w:type="spellEnd"/>
      <w:r w:rsidR="00BE0D55" w:rsidRPr="00BE0D55">
        <w:rPr>
          <w:rFonts w:ascii="Cambria" w:hAnsi="Cambria" w:cstheme="majorHAnsi"/>
        </w:rPr>
        <w:t xml:space="preserve"> dan </w:t>
      </w:r>
      <w:proofErr w:type="spellStart"/>
      <w:r w:rsidR="00BE0D55" w:rsidRPr="00BE0D55">
        <w:rPr>
          <w:rFonts w:ascii="Cambria" w:hAnsi="Cambria" w:cstheme="majorHAnsi"/>
        </w:rPr>
        <w:t>sehat</w:t>
      </w:r>
      <w:proofErr w:type="spellEnd"/>
      <w:r w:rsidR="0052342D">
        <w:rPr>
          <w:rFonts w:ascii="Cambria" w:hAnsi="Cambria" w:cstheme="majorHAnsi"/>
        </w:rPr>
        <w:t xml:space="preserve"> </w:t>
      </w:r>
      <w:r w:rsidR="0052342D">
        <w:rPr>
          <w:rFonts w:ascii="Cambria" w:hAnsi="Cambria" w:cstheme="majorHAnsi"/>
        </w:rPr>
        <w:fldChar w:fldCharType="begin" w:fldLock="1"/>
      </w:r>
      <w:r w:rsidR="00E469C6">
        <w:rPr>
          <w:rFonts w:ascii="Cambria" w:hAnsi="Cambria" w:cstheme="majorHAnsi"/>
        </w:rPr>
        <w:instrText>ADDIN CSL_CITATION {"citationItems":[{"id":"ITEM-1","itemData":{"ISBN":"1471-2431","ISSN":"14712431","PMID":"26444012","author":[{"dropping-particle":"","family":"UNICEF","given":"","non-dropping-particle":"","parse-names":false,"suffix":""}],"container-title":"UNICEF","id":"ITEM-1","issued":{"date-parts":[["2021"]]},"number-of-pages":"1-4","publisher-place":"New York","title":"Conceptual Framework Child Nutrition","type":"book"},"uris":["http://www.mendeley.com/documents/?uuid=a1b51dd8-ccd5-418e-b826-e57ba2537c2e"]}],"mendeley":{"formattedCitation":"(UNICEF, 2021)","plainTextFormattedCitation":"(UNICEF, 2021)","previouslyFormattedCitation":"(UNICEF, 2021)"},"properties":{"noteIndex":0},"schema":"https://github.com/citation-style-language/schema/raw/master/csl-citation.json"}</w:instrText>
      </w:r>
      <w:r w:rsidR="0052342D">
        <w:rPr>
          <w:rFonts w:ascii="Cambria" w:hAnsi="Cambria" w:cstheme="majorHAnsi"/>
        </w:rPr>
        <w:fldChar w:fldCharType="separate"/>
      </w:r>
      <w:r w:rsidR="0052342D" w:rsidRPr="0052342D">
        <w:rPr>
          <w:rFonts w:ascii="Cambria" w:hAnsi="Cambria" w:cstheme="majorHAnsi"/>
          <w:noProof/>
        </w:rPr>
        <w:t>(UNICEF, 2021)</w:t>
      </w:r>
      <w:r w:rsidR="0052342D">
        <w:rPr>
          <w:rFonts w:ascii="Cambria" w:hAnsi="Cambria" w:cstheme="majorHAnsi"/>
        </w:rPr>
        <w:fldChar w:fldCharType="end"/>
      </w:r>
      <w:r w:rsidR="00BE0D55" w:rsidRPr="00BE0D55">
        <w:rPr>
          <w:rFonts w:ascii="Cambria" w:hAnsi="Cambria" w:cstheme="majorHAnsi"/>
        </w:rPr>
        <w:t xml:space="preserve">. Oleh </w:t>
      </w:r>
      <w:proofErr w:type="spellStart"/>
      <w:r w:rsidR="00BE0D55" w:rsidRPr="00BE0D55">
        <w:rPr>
          <w:rFonts w:ascii="Cambria" w:hAnsi="Cambria" w:cstheme="majorHAnsi"/>
        </w:rPr>
        <w:t>karena</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itu</w:t>
      </w:r>
      <w:proofErr w:type="spellEnd"/>
      <w:r w:rsidR="00BE0D55" w:rsidRPr="00BE0D55">
        <w:rPr>
          <w:rFonts w:ascii="Cambria" w:hAnsi="Cambria" w:cstheme="majorHAnsi"/>
        </w:rPr>
        <w:t xml:space="preserve"> protocol </w:t>
      </w:r>
      <w:proofErr w:type="spellStart"/>
      <w:r w:rsidR="00BE0D55" w:rsidRPr="00BE0D55">
        <w:rPr>
          <w:rFonts w:ascii="Cambria" w:hAnsi="Cambria" w:cstheme="majorHAnsi"/>
        </w:rPr>
        <w:t>kesehatan</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sebagai</w:t>
      </w:r>
      <w:proofErr w:type="spellEnd"/>
      <w:r w:rsidR="00BE0D55" w:rsidRPr="00BE0D55">
        <w:rPr>
          <w:rFonts w:ascii="Cambria" w:hAnsi="Cambria" w:cstheme="majorHAnsi"/>
        </w:rPr>
        <w:t xml:space="preserve"> salah </w:t>
      </w:r>
      <w:proofErr w:type="spellStart"/>
      <w:r w:rsidR="00BE0D55" w:rsidRPr="00BE0D55">
        <w:rPr>
          <w:rFonts w:ascii="Cambria" w:hAnsi="Cambria" w:cstheme="majorHAnsi"/>
        </w:rPr>
        <w:t>satu</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upaya</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penerapan</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hidup</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bersih</w:t>
      </w:r>
      <w:proofErr w:type="spellEnd"/>
      <w:r w:rsidR="00BE0D55" w:rsidRPr="00BE0D55">
        <w:rPr>
          <w:rFonts w:ascii="Cambria" w:hAnsi="Cambria" w:cstheme="majorHAnsi"/>
        </w:rPr>
        <w:t xml:space="preserve"> dan </w:t>
      </w:r>
      <w:proofErr w:type="spellStart"/>
      <w:r w:rsidR="00BE0D55" w:rsidRPr="00BE0D55">
        <w:rPr>
          <w:rFonts w:ascii="Cambria" w:hAnsi="Cambria" w:cstheme="majorHAnsi"/>
        </w:rPr>
        <w:t>sehat</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perlu</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didukung</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dengan</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asupan</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gizi</w:t>
      </w:r>
      <w:proofErr w:type="spellEnd"/>
      <w:r w:rsidR="00BE0D55" w:rsidRPr="00BE0D55">
        <w:rPr>
          <w:rFonts w:ascii="Cambria" w:hAnsi="Cambria" w:cstheme="majorHAnsi"/>
        </w:rPr>
        <w:t xml:space="preserve"> yang </w:t>
      </w:r>
      <w:proofErr w:type="spellStart"/>
      <w:r w:rsidR="00BE0D55" w:rsidRPr="00BE0D55">
        <w:rPr>
          <w:rFonts w:ascii="Cambria" w:hAnsi="Cambria" w:cstheme="majorHAnsi"/>
        </w:rPr>
        <w:t>seimbang</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sehingga</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lebih</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efektif</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dalam</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mencegah</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terjadinya</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kasus</w:t>
      </w:r>
      <w:proofErr w:type="spellEnd"/>
      <w:r w:rsidR="00BE0D55" w:rsidRPr="00BE0D55">
        <w:rPr>
          <w:rFonts w:ascii="Cambria" w:hAnsi="Cambria" w:cstheme="majorHAnsi"/>
        </w:rPr>
        <w:t xml:space="preserve"> </w:t>
      </w:r>
      <w:proofErr w:type="spellStart"/>
      <w:r w:rsidR="00BE0D55" w:rsidRPr="00BE0D55">
        <w:rPr>
          <w:rFonts w:ascii="Cambria" w:hAnsi="Cambria" w:cstheme="majorHAnsi"/>
        </w:rPr>
        <w:t>infeksi</w:t>
      </w:r>
      <w:proofErr w:type="spellEnd"/>
      <w:r w:rsidR="00BE0D55" w:rsidRPr="00BE0D55">
        <w:rPr>
          <w:rFonts w:ascii="Cambria" w:hAnsi="Cambria" w:cstheme="majorHAnsi"/>
        </w:rPr>
        <w:t xml:space="preserve"> Covid-19.</w:t>
      </w:r>
    </w:p>
    <w:p w14:paraId="07FE63A2" w14:textId="77E9C6AC" w:rsidR="00BE0D55" w:rsidRPr="00BE0D55" w:rsidRDefault="00BE0D55" w:rsidP="00BE0D55">
      <w:pPr>
        <w:spacing w:after="0" w:line="240" w:lineRule="auto"/>
        <w:ind w:firstLine="720"/>
        <w:jc w:val="both"/>
        <w:rPr>
          <w:rFonts w:ascii="Cambria" w:hAnsi="Cambria" w:cs="Times New Roman"/>
        </w:rPr>
      </w:pPr>
      <w:r w:rsidRPr="00BE0D55">
        <w:rPr>
          <w:rFonts w:ascii="Cambria" w:hAnsi="Cambria" w:cs="Times New Roman"/>
        </w:rPr>
        <w:t xml:space="preserve">Tingkat </w:t>
      </w:r>
      <w:proofErr w:type="spellStart"/>
      <w:r w:rsidRPr="00BE0D55">
        <w:rPr>
          <w:rFonts w:ascii="Cambria" w:hAnsi="Cambria" w:cs="Times New Roman"/>
        </w:rPr>
        <w:t>risiko</w:t>
      </w:r>
      <w:proofErr w:type="spellEnd"/>
      <w:r w:rsidRPr="00BE0D55">
        <w:rPr>
          <w:rFonts w:ascii="Cambria" w:hAnsi="Cambria" w:cs="Times New Roman"/>
        </w:rPr>
        <w:t xml:space="preserve"> </w:t>
      </w:r>
      <w:proofErr w:type="spellStart"/>
      <w:r w:rsidRPr="00BE0D55">
        <w:rPr>
          <w:rFonts w:ascii="Cambria" w:hAnsi="Cambria" w:cs="Times New Roman"/>
        </w:rPr>
        <w:t>terinfeksi</w:t>
      </w:r>
      <w:proofErr w:type="spellEnd"/>
      <w:r w:rsidRPr="00BE0D55">
        <w:rPr>
          <w:rFonts w:ascii="Cambria" w:hAnsi="Cambria" w:cs="Times New Roman"/>
        </w:rPr>
        <w:t xml:space="preserve"> virus dan </w:t>
      </w:r>
      <w:proofErr w:type="spellStart"/>
      <w:r w:rsidRPr="00BE0D55">
        <w:rPr>
          <w:rFonts w:ascii="Cambria" w:hAnsi="Cambria" w:cs="Times New Roman"/>
        </w:rPr>
        <w:t>tingkat</w:t>
      </w:r>
      <w:proofErr w:type="spellEnd"/>
      <w:r w:rsidRPr="00BE0D55">
        <w:rPr>
          <w:rFonts w:ascii="Cambria" w:hAnsi="Cambria" w:cs="Times New Roman"/>
        </w:rPr>
        <w:t xml:space="preserve"> </w:t>
      </w:r>
      <w:proofErr w:type="spellStart"/>
      <w:r w:rsidRPr="00BE0D55">
        <w:rPr>
          <w:rFonts w:ascii="Cambria" w:hAnsi="Cambria" w:cs="Times New Roman"/>
        </w:rPr>
        <w:t>keparahan</w:t>
      </w:r>
      <w:proofErr w:type="spellEnd"/>
      <w:r w:rsidRPr="00BE0D55">
        <w:rPr>
          <w:rFonts w:ascii="Cambria" w:hAnsi="Cambria" w:cs="Times New Roman"/>
        </w:rPr>
        <w:t xml:space="preserve"> </w:t>
      </w:r>
      <w:proofErr w:type="spellStart"/>
      <w:r w:rsidRPr="00BE0D55">
        <w:rPr>
          <w:rFonts w:ascii="Cambria" w:hAnsi="Cambria" w:cs="Times New Roman"/>
        </w:rPr>
        <w:t>infeksi</w:t>
      </w:r>
      <w:proofErr w:type="spellEnd"/>
      <w:r w:rsidRPr="00BE0D55">
        <w:rPr>
          <w:rFonts w:ascii="Cambria" w:hAnsi="Cambria" w:cs="Times New Roman"/>
        </w:rPr>
        <w:t xml:space="preserve"> pada </w:t>
      </w:r>
      <w:proofErr w:type="spellStart"/>
      <w:r w:rsidRPr="00BE0D55">
        <w:rPr>
          <w:rFonts w:ascii="Cambria" w:hAnsi="Cambria" w:cs="Times New Roman"/>
        </w:rPr>
        <w:t>setiap</w:t>
      </w:r>
      <w:proofErr w:type="spellEnd"/>
      <w:r w:rsidRPr="00BE0D55">
        <w:rPr>
          <w:rFonts w:ascii="Cambria" w:hAnsi="Cambria" w:cs="Times New Roman"/>
        </w:rPr>
        <w:t xml:space="preserve"> orang </w:t>
      </w:r>
      <w:proofErr w:type="spellStart"/>
      <w:r w:rsidRPr="00BE0D55">
        <w:rPr>
          <w:rFonts w:ascii="Cambria" w:hAnsi="Cambria" w:cs="Times New Roman"/>
        </w:rPr>
        <w:t>berbeda-beda</w:t>
      </w:r>
      <w:proofErr w:type="spellEnd"/>
      <w:r w:rsidRPr="00BE0D55">
        <w:rPr>
          <w:rFonts w:ascii="Cambria" w:hAnsi="Cambria" w:cs="Times New Roman"/>
        </w:rPr>
        <w:t xml:space="preserve"> </w:t>
      </w:r>
      <w:proofErr w:type="spellStart"/>
      <w:r w:rsidRPr="00BE0D55">
        <w:rPr>
          <w:rFonts w:ascii="Cambria" w:hAnsi="Cambria" w:cs="Times New Roman"/>
        </w:rPr>
        <w:t>sesuai</w:t>
      </w:r>
      <w:proofErr w:type="spellEnd"/>
      <w:r w:rsidRPr="00BE0D55">
        <w:rPr>
          <w:rFonts w:ascii="Cambria" w:hAnsi="Cambria" w:cs="Times New Roman"/>
        </w:rPr>
        <w:t xml:space="preserve"> </w:t>
      </w:r>
      <w:proofErr w:type="spellStart"/>
      <w:r w:rsidRPr="00BE0D55">
        <w:rPr>
          <w:rFonts w:ascii="Cambria" w:hAnsi="Cambria" w:cs="Times New Roman"/>
        </w:rPr>
        <w:t>dengan</w:t>
      </w:r>
      <w:proofErr w:type="spellEnd"/>
      <w:r w:rsidRPr="00BE0D55">
        <w:rPr>
          <w:rFonts w:ascii="Cambria" w:hAnsi="Cambria" w:cs="Times New Roman"/>
        </w:rPr>
        <w:t xml:space="preserve"> </w:t>
      </w:r>
      <w:proofErr w:type="spellStart"/>
      <w:r w:rsidRPr="00BE0D55">
        <w:rPr>
          <w:rFonts w:ascii="Cambria" w:hAnsi="Cambria" w:cs="Times New Roman"/>
        </w:rPr>
        <w:t>kompetensi</w:t>
      </w:r>
      <w:proofErr w:type="spellEnd"/>
      <w:r w:rsidRPr="00BE0D55">
        <w:rPr>
          <w:rFonts w:ascii="Cambria" w:hAnsi="Cambria" w:cs="Times New Roman"/>
        </w:rPr>
        <w:t xml:space="preserve"> </w:t>
      </w:r>
      <w:proofErr w:type="spellStart"/>
      <w:r w:rsidRPr="00BE0D55">
        <w:rPr>
          <w:rFonts w:ascii="Cambria" w:hAnsi="Cambria" w:cs="Times New Roman"/>
        </w:rPr>
        <w:t>kekebalan</w:t>
      </w:r>
      <w:proofErr w:type="spellEnd"/>
      <w:r w:rsidRPr="00BE0D55">
        <w:rPr>
          <w:rFonts w:ascii="Cambria" w:hAnsi="Cambria" w:cs="Times New Roman"/>
        </w:rPr>
        <w:t xml:space="preserve"> </w:t>
      </w:r>
      <w:proofErr w:type="spellStart"/>
      <w:r w:rsidRPr="00BE0D55">
        <w:rPr>
          <w:rFonts w:ascii="Cambria" w:hAnsi="Cambria" w:cs="Times New Roman"/>
        </w:rPr>
        <w:t>tubuh</w:t>
      </w:r>
      <w:proofErr w:type="spellEnd"/>
      <w:r w:rsidRPr="00BE0D55">
        <w:rPr>
          <w:rFonts w:ascii="Cambria" w:hAnsi="Cambria" w:cs="Times New Roman"/>
        </w:rPr>
        <w:t xml:space="preserve"> </w:t>
      </w:r>
      <w:proofErr w:type="spellStart"/>
      <w:r w:rsidRPr="00BE0D55">
        <w:rPr>
          <w:rFonts w:ascii="Cambria" w:hAnsi="Cambria" w:cs="Times New Roman"/>
        </w:rPr>
        <w:t>berdasarkan</w:t>
      </w:r>
      <w:proofErr w:type="spellEnd"/>
      <w:r w:rsidRPr="00BE0D55">
        <w:rPr>
          <w:rFonts w:ascii="Cambria" w:hAnsi="Cambria" w:cs="Times New Roman"/>
        </w:rPr>
        <w:t xml:space="preserve"> </w:t>
      </w:r>
      <w:proofErr w:type="spellStart"/>
      <w:r w:rsidRPr="00BE0D55">
        <w:rPr>
          <w:rFonts w:ascii="Cambria" w:hAnsi="Cambria" w:cs="Times New Roman"/>
        </w:rPr>
        <w:t>bagaimana</w:t>
      </w:r>
      <w:proofErr w:type="spellEnd"/>
      <w:r w:rsidRPr="00BE0D55">
        <w:rPr>
          <w:rFonts w:ascii="Cambria" w:hAnsi="Cambria" w:cs="Times New Roman"/>
        </w:rPr>
        <w:t xml:space="preserve"> </w:t>
      </w:r>
      <w:proofErr w:type="spellStart"/>
      <w:r w:rsidRPr="00BE0D55">
        <w:rPr>
          <w:rFonts w:ascii="Cambria" w:hAnsi="Cambria" w:cs="Times New Roman"/>
        </w:rPr>
        <w:t>sistem</w:t>
      </w:r>
      <w:proofErr w:type="spellEnd"/>
      <w:r w:rsidRPr="00BE0D55">
        <w:rPr>
          <w:rFonts w:ascii="Cambria" w:hAnsi="Cambria" w:cs="Times New Roman"/>
        </w:rPr>
        <w:t xml:space="preserve"> </w:t>
      </w:r>
      <w:proofErr w:type="spellStart"/>
      <w:r w:rsidRPr="00BE0D55">
        <w:rPr>
          <w:rFonts w:ascii="Cambria" w:hAnsi="Cambria" w:cs="Times New Roman"/>
        </w:rPr>
        <w:t>kekebalan</w:t>
      </w:r>
      <w:proofErr w:type="spellEnd"/>
      <w:r w:rsidRPr="00BE0D55">
        <w:rPr>
          <w:rFonts w:ascii="Cambria" w:hAnsi="Cambria" w:cs="Times New Roman"/>
        </w:rPr>
        <w:t xml:space="preserve"> </w:t>
      </w:r>
      <w:proofErr w:type="spellStart"/>
      <w:r w:rsidRPr="00BE0D55">
        <w:rPr>
          <w:rFonts w:ascii="Cambria" w:hAnsi="Cambria" w:cs="Times New Roman"/>
        </w:rPr>
        <w:t>tumbuh</w:t>
      </w:r>
      <w:proofErr w:type="spellEnd"/>
      <w:r w:rsidRPr="00BE0D55">
        <w:rPr>
          <w:rFonts w:ascii="Cambria" w:hAnsi="Cambria" w:cs="Times New Roman"/>
        </w:rPr>
        <w:t xml:space="preserve">, </w:t>
      </w:r>
      <w:proofErr w:type="spellStart"/>
      <w:r w:rsidRPr="00BE0D55">
        <w:rPr>
          <w:rFonts w:ascii="Cambria" w:hAnsi="Cambria" w:cs="Times New Roman"/>
        </w:rPr>
        <w:t>matang</w:t>
      </w:r>
      <w:proofErr w:type="spellEnd"/>
      <w:r w:rsidRPr="00BE0D55">
        <w:rPr>
          <w:rFonts w:ascii="Cambria" w:hAnsi="Cambria" w:cs="Times New Roman"/>
        </w:rPr>
        <w:t xml:space="preserve">, dan </w:t>
      </w:r>
      <w:commentRangeStart w:id="11"/>
      <w:proofErr w:type="spellStart"/>
      <w:r w:rsidRPr="00BE0D55">
        <w:rPr>
          <w:rFonts w:ascii="Cambria" w:hAnsi="Cambria" w:cs="Times New Roman"/>
        </w:rPr>
        <w:t>menurun</w:t>
      </w:r>
      <w:commentRangeEnd w:id="11"/>
      <w:proofErr w:type="spellEnd"/>
      <w:r w:rsidR="005259FA">
        <w:rPr>
          <w:rStyle w:val="CommentReference"/>
        </w:rPr>
        <w:commentReference w:id="11"/>
      </w:r>
      <w:r w:rsidR="00474B64">
        <w:rPr>
          <w:rFonts w:ascii="Cambria" w:hAnsi="Cambria" w:cs="Times New Roman"/>
        </w:rPr>
        <w:t xml:space="preserve"> </w:t>
      </w:r>
      <w:r w:rsidR="00943445">
        <w:rPr>
          <w:rFonts w:ascii="Cambria" w:hAnsi="Cambria" w:cs="Times New Roman"/>
        </w:rPr>
        <w:fldChar w:fldCharType="begin" w:fldLock="1"/>
      </w:r>
      <w:r w:rsidR="00474B64">
        <w:rPr>
          <w:rFonts w:ascii="Cambria" w:hAnsi="Cambria" w:cs="Times New Roman"/>
        </w:rPr>
        <w:instrText>ADDIN CSL_CITATION {"citationItems":[{"id":"ITEM-1","itemData":{"DOI":"10.9734/jammr/2020/v32i2230702","abstract":"In human beings, infection risk and severity differ according to immune competence based on how the immune system grows, matures, and declines. Many factors affect the immune system and its competencies, including diet. A number of clinical trials are underway to determine treatment options for coronavirus disease 2019 (COVID-19), caused by extreme acute coronavirus syndrome. Considering Covid-19, enhanced nutrition including micronutrient supplementation to improve the immune system has been recognized as a viable solution to both preventing and alleviating infection severity. Micronutrient deficiencies, especially vitamins A, B complex, C, and D including trace minerals zinc, iron, and selenium, are prevalent among vulnerable populations in general, and among COVID-19 patients in particular, and may likely increase mortality risk. A systematic review of the literature was conducted to identify nutritional strategies that might prevent or assist COVID-19 recovery. There is still an unmet need for covering the treatment of geriatric and pediatric patients.","author":[{"dropping-particle":"","family":"Mishra","given":"Sudhanshu","non-dropping-particle":"","parse-names":false,"suffix":""},{"dropping-particle":"","family":"Sharma","given":"Disha","non-dropping-particle":"","parse-names":false,"suffix":""},{"dropping-particle":"","family":"Raghuvanshi","given":"Anshita","non-dropping-particle":"","parse-names":false,"suffix":""},{"dropping-particle":"","family":"Rajput","given":"Aishwarya","non-dropping-particle":"","parse-names":false,"suffix":""},{"dropping-particle":"","family":"Chaturvedi","given":"Vikash","non-dropping-particle":"","parse-names":false,"suffix":""},{"dropping-particle":"","family":"Shanno","given":"Kumari","non-dropping-particle":"","parse-names":false,"suffix":""}],"container-title":"Journal of Advances in Medicine and Medical Research","id":"ITEM-1","issue":"22","issued":{"date-parts":[["2020"]]},"page":"20-33","title":"Potential Impact of Nutrition on Immune System: Prevent or Assist COVID-19 Recovery","type":"article-journal","volume":"32"},"uris":["http://www.mendeley.com/documents/?uuid=ef1950c8-36d4-4884-a2a9-96122767d9aa"]}],"mendeley":{"formattedCitation":"(Mishra et al., 2020)","plainTextFormattedCitation":"(Mishra et al., 2020)","previouslyFormattedCitation":"(Mishra et al., 2020)"},"properties":{"noteIndex":0},"schema":"https://github.com/citation-style-language/schema/raw/master/csl-citation.json"}</w:instrText>
      </w:r>
      <w:r w:rsidR="00943445">
        <w:rPr>
          <w:rFonts w:ascii="Cambria" w:hAnsi="Cambria" w:cs="Times New Roman"/>
        </w:rPr>
        <w:fldChar w:fldCharType="separate"/>
      </w:r>
      <w:r w:rsidR="00943445" w:rsidRPr="00943445">
        <w:rPr>
          <w:rFonts w:ascii="Cambria" w:hAnsi="Cambria" w:cs="Times New Roman"/>
          <w:noProof/>
        </w:rPr>
        <w:t>(Mishra et al., 2020)</w:t>
      </w:r>
      <w:r w:rsidR="00943445">
        <w:rPr>
          <w:rFonts w:ascii="Cambria" w:hAnsi="Cambria" w:cs="Times New Roman"/>
        </w:rPr>
        <w:fldChar w:fldCharType="end"/>
      </w:r>
      <w:r w:rsidRPr="00BE0D55">
        <w:rPr>
          <w:rFonts w:ascii="Cambria" w:hAnsi="Cambria" w:cs="Times New Roman"/>
        </w:rPr>
        <w:t xml:space="preserve">. Banyak </w:t>
      </w:r>
      <w:proofErr w:type="spellStart"/>
      <w:r w:rsidRPr="00BE0D55">
        <w:rPr>
          <w:rFonts w:ascii="Cambria" w:hAnsi="Cambria" w:cs="Times New Roman"/>
        </w:rPr>
        <w:t>faktor</w:t>
      </w:r>
      <w:proofErr w:type="spellEnd"/>
      <w:r w:rsidRPr="00BE0D55">
        <w:rPr>
          <w:rFonts w:ascii="Cambria" w:hAnsi="Cambria" w:cs="Times New Roman"/>
        </w:rPr>
        <w:t xml:space="preserve"> yang </w:t>
      </w:r>
      <w:proofErr w:type="spellStart"/>
      <w:r w:rsidRPr="00BE0D55">
        <w:rPr>
          <w:rFonts w:ascii="Cambria" w:hAnsi="Cambria" w:cs="Times New Roman"/>
        </w:rPr>
        <w:t>mempengaruhi</w:t>
      </w:r>
      <w:proofErr w:type="spellEnd"/>
      <w:r w:rsidRPr="00BE0D55">
        <w:rPr>
          <w:rFonts w:ascii="Cambria" w:hAnsi="Cambria" w:cs="Times New Roman"/>
        </w:rPr>
        <w:t xml:space="preserve"> </w:t>
      </w:r>
      <w:proofErr w:type="spellStart"/>
      <w:r w:rsidRPr="00BE0D55">
        <w:rPr>
          <w:rFonts w:ascii="Cambria" w:hAnsi="Cambria" w:cs="Times New Roman"/>
        </w:rPr>
        <w:t>sistem</w:t>
      </w:r>
      <w:proofErr w:type="spellEnd"/>
      <w:r w:rsidRPr="00BE0D55">
        <w:rPr>
          <w:rFonts w:ascii="Cambria" w:hAnsi="Cambria" w:cs="Times New Roman"/>
        </w:rPr>
        <w:t xml:space="preserve"> </w:t>
      </w:r>
      <w:proofErr w:type="spellStart"/>
      <w:r w:rsidRPr="00BE0D55">
        <w:rPr>
          <w:rFonts w:ascii="Cambria" w:hAnsi="Cambria" w:cs="Times New Roman"/>
        </w:rPr>
        <w:t>kekebalan</w:t>
      </w:r>
      <w:proofErr w:type="spellEnd"/>
      <w:r w:rsidRPr="00BE0D55">
        <w:rPr>
          <w:rFonts w:ascii="Cambria" w:hAnsi="Cambria" w:cs="Times New Roman"/>
        </w:rPr>
        <w:t xml:space="preserve"> dan </w:t>
      </w:r>
      <w:proofErr w:type="spellStart"/>
      <w:r w:rsidRPr="00BE0D55">
        <w:rPr>
          <w:rFonts w:ascii="Cambria" w:hAnsi="Cambria" w:cs="Times New Roman"/>
        </w:rPr>
        <w:t>kompetensinya</w:t>
      </w:r>
      <w:proofErr w:type="spellEnd"/>
      <w:r w:rsidRPr="00BE0D55">
        <w:rPr>
          <w:rFonts w:ascii="Cambria" w:hAnsi="Cambria" w:cs="Times New Roman"/>
        </w:rPr>
        <w:t xml:space="preserve">, salah </w:t>
      </w:r>
      <w:proofErr w:type="spellStart"/>
      <w:r w:rsidRPr="00BE0D55">
        <w:rPr>
          <w:rFonts w:ascii="Cambria" w:hAnsi="Cambria" w:cs="Times New Roman"/>
        </w:rPr>
        <w:t>satunya</w:t>
      </w:r>
      <w:proofErr w:type="spellEnd"/>
      <w:r w:rsidRPr="00BE0D55">
        <w:rPr>
          <w:rFonts w:ascii="Cambria" w:hAnsi="Cambria" w:cs="Times New Roman"/>
        </w:rPr>
        <w:t xml:space="preserve"> </w:t>
      </w:r>
      <w:proofErr w:type="spellStart"/>
      <w:r w:rsidRPr="00BE0D55">
        <w:rPr>
          <w:rFonts w:ascii="Cambria" w:hAnsi="Cambria" w:cs="Times New Roman"/>
        </w:rPr>
        <w:t>adalah</w:t>
      </w:r>
      <w:proofErr w:type="spellEnd"/>
      <w:r w:rsidRPr="00BE0D55">
        <w:rPr>
          <w:rFonts w:ascii="Cambria" w:hAnsi="Cambria" w:cs="Times New Roman"/>
        </w:rPr>
        <w:t xml:space="preserve"> </w:t>
      </w:r>
      <w:proofErr w:type="spellStart"/>
      <w:r w:rsidRPr="00BE0D55">
        <w:rPr>
          <w:rFonts w:ascii="Cambria" w:hAnsi="Cambria" w:cs="Times New Roman"/>
        </w:rPr>
        <w:t>asupan</w:t>
      </w:r>
      <w:proofErr w:type="spellEnd"/>
      <w:r w:rsidRPr="00BE0D55">
        <w:rPr>
          <w:rFonts w:ascii="Cambria" w:hAnsi="Cambria" w:cs="Times New Roman"/>
        </w:rPr>
        <w:t xml:space="preserve"> </w:t>
      </w:r>
      <w:proofErr w:type="spellStart"/>
      <w:r w:rsidRPr="00BE0D55">
        <w:rPr>
          <w:rFonts w:ascii="Cambria" w:hAnsi="Cambria" w:cs="Times New Roman"/>
        </w:rPr>
        <w:t>gizi</w:t>
      </w:r>
      <w:proofErr w:type="spellEnd"/>
      <w:r w:rsidRPr="00BE0D55">
        <w:rPr>
          <w:rFonts w:ascii="Cambria" w:hAnsi="Cambria" w:cs="Times New Roman"/>
        </w:rPr>
        <w:t xml:space="preserve">. </w:t>
      </w:r>
      <w:r w:rsidR="000669BD">
        <w:rPr>
          <w:rFonts w:ascii="Cambria" w:hAnsi="Cambria" w:cs="Times New Roman"/>
        </w:rPr>
        <w:fldChar w:fldCharType="begin" w:fldLock="1"/>
      </w:r>
      <w:r w:rsidR="00812CA1">
        <w:rPr>
          <w:rFonts w:ascii="Cambria" w:hAnsi="Cambria" w:cs="Times New Roman"/>
        </w:rPr>
        <w:instrText>ADDIN CSL_CITATION {"citationItems":[{"id":"ITEM-1","itemData":{"DOI":"10.3390/nu10101531","ISSN":"20726643","PMID":"30336639","abstract":"As humans age, the risk and severity of infections vary in line with immune competence according to how the immune system develops, matures, and declines. Several factors influence the immune system and its competence, including nutrition. A bidirectional relationship among nutrition, infection and immunity exists: changes in one component affect the others. For example, distinct immune features present during each life stage may affect the type, prevalence, and severity of infections, while poor nutrition can compromise immune function and increase infection risk. Various micronutrients are essential for immunocompetence, particularly vitamins A, C, D, E, B2, B6, and B12, folic acid, iron, selenium, and zinc. Micronutrient deficiencies are a recognized global public health issue, and poor nutritional status predisposes to certain infections. Immune function may be improved by restoring deficient micronutrients to recommended levels, thereby increasing resistance to infection and supporting faster recovery when infected. Diet alone may be insufficient and tailored micronutrient supplementation based on specific age-related needs necessary. This review looks at immune considerations specific to each life stage, the consequent risk of infection, micronutrient requirements and deficiencies exhibited over the life course, and the available evidence regarding the effects of micronutrient supplementation on immune function and infection.","author":[{"dropping-particle":"","family":"Maggini","given":"Silvia","non-dropping-particle":"","parse-names":false,"suffix":""},{"dropping-particle":"","family":"Pierre","given":"Adeline","non-dropping-particle":"","parse-names":false,"suffix":""},{"dropping-particle":"","family":"Calder","given":"Philip C.","non-dropping-particle":"","parse-names":false,"suffix":""}],"container-title":"Nutrients","id":"ITEM-1","issue":"10","issued":{"date-parts":[["2018"]]},"title":"Immune function and micronutrient requirements change over the life course","type":"article-journal","volume":"10"},"uris":["http://www.mendeley.com/documents/?uuid=b3d701d1-c84c-4966-9028-09ac88e03f5d"]}],"mendeley":{"formattedCitation":"(Maggini et al., 2018)","plainTextFormattedCitation":"(Maggini et al., 2018)","previouslyFormattedCitation":"(Maggini et al., 2018)"},"properties":{"noteIndex":0},"schema":"https://github.com/citation-style-language/schema/raw/master/csl-citation.json"}</w:instrText>
      </w:r>
      <w:r w:rsidR="000669BD">
        <w:rPr>
          <w:rFonts w:ascii="Cambria" w:hAnsi="Cambria" w:cs="Times New Roman"/>
        </w:rPr>
        <w:fldChar w:fldCharType="separate"/>
      </w:r>
      <w:r w:rsidR="00474B64" w:rsidRPr="00474B64">
        <w:rPr>
          <w:rFonts w:ascii="Cambria" w:hAnsi="Cambria" w:cs="Times New Roman"/>
          <w:noProof/>
        </w:rPr>
        <w:t>(Maggini et al., 2018)</w:t>
      </w:r>
      <w:r w:rsidR="000669BD">
        <w:rPr>
          <w:rFonts w:ascii="Cambria" w:hAnsi="Cambria" w:cs="Times New Roman"/>
        </w:rPr>
        <w:fldChar w:fldCharType="end"/>
      </w:r>
      <w:r w:rsidR="000669BD">
        <w:rPr>
          <w:rFonts w:ascii="Cambria" w:hAnsi="Cambria" w:cs="Times New Roman"/>
        </w:rPr>
        <w:t xml:space="preserve"> </w:t>
      </w:r>
      <w:proofErr w:type="spellStart"/>
      <w:r w:rsidRPr="00BE0D55">
        <w:rPr>
          <w:rFonts w:ascii="Cambria" w:hAnsi="Cambria" w:cs="Times New Roman"/>
        </w:rPr>
        <w:t>menyatakan</w:t>
      </w:r>
      <w:proofErr w:type="spellEnd"/>
      <w:r w:rsidRPr="00BE0D55">
        <w:rPr>
          <w:rFonts w:ascii="Cambria" w:hAnsi="Cambria" w:cs="Times New Roman"/>
        </w:rPr>
        <w:t xml:space="preserve"> </w:t>
      </w:r>
      <w:proofErr w:type="spellStart"/>
      <w:r w:rsidRPr="00BE0D55">
        <w:rPr>
          <w:rFonts w:ascii="Cambria" w:hAnsi="Cambria" w:cs="Times New Roman"/>
        </w:rPr>
        <w:t>bahwa</w:t>
      </w:r>
      <w:proofErr w:type="spellEnd"/>
      <w:r w:rsidRPr="00BE0D55">
        <w:rPr>
          <w:rFonts w:ascii="Cambria" w:hAnsi="Cambria" w:cs="Times New Roman"/>
        </w:rPr>
        <w:t xml:space="preserve"> factor </w:t>
      </w:r>
      <w:proofErr w:type="spellStart"/>
      <w:r w:rsidRPr="00BE0D55">
        <w:rPr>
          <w:rFonts w:ascii="Cambria" w:hAnsi="Cambria" w:cs="Times New Roman"/>
        </w:rPr>
        <w:t>asupan</w:t>
      </w:r>
      <w:proofErr w:type="spellEnd"/>
      <w:r w:rsidRPr="00BE0D55">
        <w:rPr>
          <w:rFonts w:ascii="Cambria" w:hAnsi="Cambria" w:cs="Times New Roman"/>
        </w:rPr>
        <w:t xml:space="preserve"> </w:t>
      </w:r>
      <w:proofErr w:type="spellStart"/>
      <w:r w:rsidRPr="00BE0D55">
        <w:rPr>
          <w:rFonts w:ascii="Cambria" w:hAnsi="Cambria" w:cs="Times New Roman"/>
        </w:rPr>
        <w:t>gizi</w:t>
      </w:r>
      <w:proofErr w:type="spellEnd"/>
      <w:r w:rsidRPr="00BE0D55">
        <w:rPr>
          <w:rFonts w:ascii="Cambria" w:hAnsi="Cambria" w:cs="Times New Roman"/>
        </w:rPr>
        <w:t xml:space="preserve"> </w:t>
      </w:r>
      <w:proofErr w:type="spellStart"/>
      <w:r w:rsidRPr="00BE0D55">
        <w:rPr>
          <w:rFonts w:ascii="Cambria" w:hAnsi="Cambria" w:cs="Times New Roman"/>
        </w:rPr>
        <w:t>merupakan</w:t>
      </w:r>
      <w:proofErr w:type="spellEnd"/>
      <w:r w:rsidRPr="00BE0D55">
        <w:rPr>
          <w:rFonts w:ascii="Cambria" w:hAnsi="Cambria" w:cs="Times New Roman"/>
        </w:rPr>
        <w:t xml:space="preserve"> salah </w:t>
      </w:r>
      <w:proofErr w:type="spellStart"/>
      <w:r w:rsidRPr="00BE0D55">
        <w:rPr>
          <w:rFonts w:ascii="Cambria" w:hAnsi="Cambria" w:cs="Times New Roman"/>
        </w:rPr>
        <w:t>satu</w:t>
      </w:r>
      <w:proofErr w:type="spellEnd"/>
      <w:r w:rsidRPr="00BE0D55">
        <w:rPr>
          <w:rFonts w:ascii="Cambria" w:hAnsi="Cambria" w:cs="Times New Roman"/>
        </w:rPr>
        <w:t xml:space="preserve"> strategi yang </w:t>
      </w:r>
      <w:proofErr w:type="spellStart"/>
      <w:r w:rsidRPr="00BE0D55">
        <w:rPr>
          <w:rFonts w:ascii="Cambria" w:hAnsi="Cambria" w:cs="Times New Roman"/>
        </w:rPr>
        <w:t>potensial</w:t>
      </w:r>
      <w:proofErr w:type="spellEnd"/>
      <w:r w:rsidRPr="00BE0D55">
        <w:rPr>
          <w:rFonts w:ascii="Cambria" w:hAnsi="Cambria" w:cs="Times New Roman"/>
        </w:rPr>
        <w:t xml:space="preserve"> </w:t>
      </w:r>
      <w:proofErr w:type="spellStart"/>
      <w:r w:rsidRPr="00BE0D55">
        <w:rPr>
          <w:rFonts w:ascii="Cambria" w:hAnsi="Cambria" w:cs="Times New Roman"/>
        </w:rPr>
        <w:t>dalam</w:t>
      </w:r>
      <w:proofErr w:type="spellEnd"/>
      <w:r w:rsidRPr="00BE0D55">
        <w:rPr>
          <w:rFonts w:ascii="Cambria" w:hAnsi="Cambria" w:cs="Times New Roman"/>
        </w:rPr>
        <w:t xml:space="preserve"> </w:t>
      </w:r>
      <w:proofErr w:type="spellStart"/>
      <w:r w:rsidRPr="00BE0D55">
        <w:rPr>
          <w:rFonts w:ascii="Cambria" w:hAnsi="Cambria" w:cs="Times New Roman"/>
        </w:rPr>
        <w:t>pencegahan</w:t>
      </w:r>
      <w:proofErr w:type="spellEnd"/>
      <w:r w:rsidRPr="00BE0D55">
        <w:rPr>
          <w:rFonts w:ascii="Cambria" w:hAnsi="Cambria" w:cs="Times New Roman"/>
        </w:rPr>
        <w:t xml:space="preserve"> </w:t>
      </w:r>
      <w:proofErr w:type="spellStart"/>
      <w:r w:rsidRPr="00BE0D55">
        <w:rPr>
          <w:rFonts w:ascii="Cambria" w:hAnsi="Cambria" w:cs="Times New Roman"/>
        </w:rPr>
        <w:t>maupun</w:t>
      </w:r>
      <w:proofErr w:type="spellEnd"/>
      <w:r w:rsidRPr="00BE0D55">
        <w:rPr>
          <w:rFonts w:ascii="Cambria" w:hAnsi="Cambria" w:cs="Times New Roman"/>
        </w:rPr>
        <w:t xml:space="preserve"> </w:t>
      </w:r>
      <w:proofErr w:type="spellStart"/>
      <w:r w:rsidRPr="00BE0D55">
        <w:rPr>
          <w:rFonts w:ascii="Cambria" w:hAnsi="Cambria" w:cs="Times New Roman"/>
        </w:rPr>
        <w:t>penyembuhan</w:t>
      </w:r>
      <w:proofErr w:type="spellEnd"/>
      <w:r w:rsidRPr="00BE0D55">
        <w:rPr>
          <w:rFonts w:ascii="Cambria" w:hAnsi="Cambria" w:cs="Times New Roman"/>
        </w:rPr>
        <w:t xml:space="preserve"> </w:t>
      </w:r>
      <w:proofErr w:type="spellStart"/>
      <w:r w:rsidRPr="00BE0D55">
        <w:rPr>
          <w:rFonts w:ascii="Cambria" w:hAnsi="Cambria" w:cs="Times New Roman"/>
        </w:rPr>
        <w:t>infeksi</w:t>
      </w:r>
      <w:proofErr w:type="spellEnd"/>
      <w:r w:rsidRPr="00BE0D55">
        <w:rPr>
          <w:rFonts w:ascii="Cambria" w:hAnsi="Cambria" w:cs="Times New Roman"/>
        </w:rPr>
        <w:t xml:space="preserve"> covid-19.</w:t>
      </w:r>
    </w:p>
    <w:p w14:paraId="0139E44F" w14:textId="387B3522" w:rsidR="00BE0D55" w:rsidRPr="00BE0D55" w:rsidRDefault="00BE0D55" w:rsidP="00BE0D55">
      <w:pPr>
        <w:spacing w:after="0" w:line="240" w:lineRule="auto"/>
        <w:ind w:firstLine="720"/>
        <w:jc w:val="both"/>
        <w:rPr>
          <w:rFonts w:ascii="Cambria" w:hAnsi="Cambria" w:cs="Times New Roman"/>
        </w:rPr>
      </w:pPr>
      <w:proofErr w:type="spellStart"/>
      <w:r w:rsidRPr="00BE0D55">
        <w:rPr>
          <w:rFonts w:ascii="Cambria" w:hAnsi="Cambria" w:cs="Times New Roman"/>
        </w:rPr>
        <w:t>Zat</w:t>
      </w:r>
      <w:proofErr w:type="spellEnd"/>
      <w:r w:rsidRPr="00BE0D55">
        <w:rPr>
          <w:rFonts w:ascii="Cambria" w:hAnsi="Cambria" w:cs="Times New Roman"/>
        </w:rPr>
        <w:t xml:space="preserve"> </w:t>
      </w:r>
      <w:proofErr w:type="spellStart"/>
      <w:r w:rsidRPr="00BE0D55">
        <w:rPr>
          <w:rFonts w:ascii="Cambria" w:hAnsi="Cambria" w:cs="Times New Roman"/>
        </w:rPr>
        <w:t>gizi</w:t>
      </w:r>
      <w:proofErr w:type="spellEnd"/>
      <w:r w:rsidRPr="00BE0D55">
        <w:rPr>
          <w:rFonts w:ascii="Cambria" w:hAnsi="Cambria" w:cs="Times New Roman"/>
        </w:rPr>
        <w:t xml:space="preserve"> yang </w:t>
      </w:r>
      <w:proofErr w:type="spellStart"/>
      <w:r w:rsidRPr="00BE0D55">
        <w:rPr>
          <w:rFonts w:ascii="Cambria" w:hAnsi="Cambria" w:cs="Times New Roman"/>
        </w:rPr>
        <w:t>diperlukan</w:t>
      </w:r>
      <w:proofErr w:type="spellEnd"/>
      <w:r w:rsidRPr="00BE0D55">
        <w:rPr>
          <w:rFonts w:ascii="Cambria" w:hAnsi="Cambria" w:cs="Times New Roman"/>
        </w:rPr>
        <w:t xml:space="preserve"> </w:t>
      </w:r>
      <w:proofErr w:type="spellStart"/>
      <w:r w:rsidRPr="00BE0D55">
        <w:rPr>
          <w:rFonts w:ascii="Cambria" w:hAnsi="Cambria" w:cs="Times New Roman"/>
        </w:rPr>
        <w:t>untuk</w:t>
      </w:r>
      <w:proofErr w:type="spellEnd"/>
      <w:r w:rsidRPr="00BE0D55">
        <w:rPr>
          <w:rFonts w:ascii="Cambria" w:hAnsi="Cambria" w:cs="Times New Roman"/>
        </w:rPr>
        <w:t xml:space="preserve"> </w:t>
      </w:r>
      <w:proofErr w:type="spellStart"/>
      <w:r w:rsidRPr="00BE0D55">
        <w:rPr>
          <w:rFonts w:ascii="Cambria" w:hAnsi="Cambria" w:cs="Times New Roman"/>
        </w:rPr>
        <w:t>mengoptimalkan</w:t>
      </w:r>
      <w:proofErr w:type="spellEnd"/>
      <w:r w:rsidRPr="00BE0D55">
        <w:rPr>
          <w:rFonts w:ascii="Cambria" w:hAnsi="Cambria" w:cs="Times New Roman"/>
        </w:rPr>
        <w:t xml:space="preserve"> system </w:t>
      </w:r>
      <w:proofErr w:type="spellStart"/>
      <w:r w:rsidRPr="00BE0D55">
        <w:rPr>
          <w:rFonts w:ascii="Cambria" w:hAnsi="Cambria" w:cs="Times New Roman"/>
        </w:rPr>
        <w:t>kekebalan</w:t>
      </w:r>
      <w:proofErr w:type="spellEnd"/>
      <w:r w:rsidRPr="00BE0D55">
        <w:rPr>
          <w:rFonts w:ascii="Cambria" w:hAnsi="Cambria" w:cs="Times New Roman"/>
        </w:rPr>
        <w:t xml:space="preserve"> </w:t>
      </w:r>
      <w:proofErr w:type="spellStart"/>
      <w:r w:rsidRPr="00BE0D55">
        <w:rPr>
          <w:rFonts w:ascii="Cambria" w:hAnsi="Cambria" w:cs="Times New Roman"/>
        </w:rPr>
        <w:t>tubuh</w:t>
      </w:r>
      <w:proofErr w:type="spellEnd"/>
      <w:r w:rsidRPr="00BE0D55">
        <w:rPr>
          <w:rFonts w:ascii="Cambria" w:hAnsi="Cambria" w:cs="Times New Roman"/>
        </w:rPr>
        <w:t xml:space="preserve"> </w:t>
      </w:r>
      <w:proofErr w:type="spellStart"/>
      <w:r w:rsidRPr="00BE0D55">
        <w:rPr>
          <w:rFonts w:ascii="Cambria" w:hAnsi="Cambria" w:cs="Times New Roman"/>
        </w:rPr>
        <w:t>selain</w:t>
      </w:r>
      <w:proofErr w:type="spellEnd"/>
      <w:r w:rsidRPr="00BE0D55">
        <w:rPr>
          <w:rFonts w:ascii="Cambria" w:hAnsi="Cambria" w:cs="Times New Roman"/>
        </w:rPr>
        <w:t xml:space="preserve"> </w:t>
      </w:r>
      <w:proofErr w:type="spellStart"/>
      <w:r w:rsidRPr="00BE0D55">
        <w:rPr>
          <w:rFonts w:ascii="Cambria" w:hAnsi="Cambria" w:cs="Times New Roman"/>
        </w:rPr>
        <w:t>zat</w:t>
      </w:r>
      <w:proofErr w:type="spellEnd"/>
      <w:r w:rsidRPr="00BE0D55">
        <w:rPr>
          <w:rFonts w:ascii="Cambria" w:hAnsi="Cambria" w:cs="Times New Roman"/>
        </w:rPr>
        <w:t xml:space="preserve"> </w:t>
      </w:r>
      <w:proofErr w:type="spellStart"/>
      <w:r w:rsidRPr="00BE0D55">
        <w:rPr>
          <w:rFonts w:ascii="Cambria" w:hAnsi="Cambria" w:cs="Times New Roman"/>
        </w:rPr>
        <w:t>gizi</w:t>
      </w:r>
      <w:proofErr w:type="spellEnd"/>
      <w:r w:rsidRPr="00BE0D55">
        <w:rPr>
          <w:rFonts w:ascii="Cambria" w:hAnsi="Cambria" w:cs="Times New Roman"/>
        </w:rPr>
        <w:t xml:space="preserve"> </w:t>
      </w:r>
      <w:proofErr w:type="spellStart"/>
      <w:r w:rsidRPr="00BE0D55">
        <w:rPr>
          <w:rFonts w:ascii="Cambria" w:hAnsi="Cambria" w:cs="Times New Roman"/>
        </w:rPr>
        <w:t>makro</w:t>
      </w:r>
      <w:proofErr w:type="spellEnd"/>
      <w:r w:rsidRPr="00BE0D55">
        <w:rPr>
          <w:rFonts w:ascii="Cambria" w:hAnsi="Cambria" w:cs="Times New Roman"/>
        </w:rPr>
        <w:t xml:space="preserve"> juga </w:t>
      </w:r>
      <w:proofErr w:type="spellStart"/>
      <w:r w:rsidRPr="00BE0D55">
        <w:rPr>
          <w:rFonts w:ascii="Cambria" w:hAnsi="Cambria" w:cs="Times New Roman"/>
        </w:rPr>
        <w:t>diperlukan</w:t>
      </w:r>
      <w:proofErr w:type="spellEnd"/>
      <w:r w:rsidRPr="00BE0D55">
        <w:rPr>
          <w:rFonts w:ascii="Cambria" w:hAnsi="Cambria" w:cs="Times New Roman"/>
        </w:rPr>
        <w:t xml:space="preserve"> </w:t>
      </w:r>
      <w:proofErr w:type="spellStart"/>
      <w:r w:rsidRPr="00BE0D55">
        <w:rPr>
          <w:rFonts w:ascii="Cambria" w:hAnsi="Cambria" w:cs="Times New Roman"/>
        </w:rPr>
        <w:t>asupan</w:t>
      </w:r>
      <w:proofErr w:type="spellEnd"/>
      <w:r w:rsidRPr="00BE0D55">
        <w:rPr>
          <w:rFonts w:ascii="Cambria" w:hAnsi="Cambria" w:cs="Times New Roman"/>
        </w:rPr>
        <w:t xml:space="preserve"> </w:t>
      </w:r>
      <w:proofErr w:type="spellStart"/>
      <w:r w:rsidRPr="00BE0D55">
        <w:rPr>
          <w:rFonts w:ascii="Cambria" w:hAnsi="Cambria" w:cs="Times New Roman"/>
        </w:rPr>
        <w:t>zat</w:t>
      </w:r>
      <w:proofErr w:type="spellEnd"/>
      <w:r w:rsidRPr="00BE0D55">
        <w:rPr>
          <w:rFonts w:ascii="Cambria" w:hAnsi="Cambria" w:cs="Times New Roman"/>
        </w:rPr>
        <w:t xml:space="preserve"> </w:t>
      </w:r>
      <w:proofErr w:type="spellStart"/>
      <w:r w:rsidRPr="00BE0D55">
        <w:rPr>
          <w:rFonts w:ascii="Cambria" w:hAnsi="Cambria" w:cs="Times New Roman"/>
        </w:rPr>
        <w:t>gizi</w:t>
      </w:r>
      <w:proofErr w:type="spellEnd"/>
      <w:r w:rsidRPr="00BE0D55">
        <w:rPr>
          <w:rFonts w:ascii="Cambria" w:hAnsi="Cambria" w:cs="Times New Roman"/>
        </w:rPr>
        <w:t xml:space="preserve"> </w:t>
      </w:r>
      <w:proofErr w:type="spellStart"/>
      <w:r w:rsidRPr="00BE0D55">
        <w:rPr>
          <w:rFonts w:ascii="Cambria" w:hAnsi="Cambria" w:cs="Times New Roman"/>
        </w:rPr>
        <w:t>mikro</w:t>
      </w:r>
      <w:proofErr w:type="spellEnd"/>
      <w:r w:rsidRPr="00BE0D55">
        <w:rPr>
          <w:rFonts w:ascii="Cambria" w:hAnsi="Cambria" w:cs="Times New Roman"/>
        </w:rPr>
        <w:t xml:space="preserve"> </w:t>
      </w:r>
      <w:r w:rsidR="00316109">
        <w:rPr>
          <w:rFonts w:ascii="Cambria" w:hAnsi="Cambria" w:cs="Times New Roman"/>
        </w:rPr>
        <w:t xml:space="preserve">yang </w:t>
      </w:r>
      <w:proofErr w:type="spellStart"/>
      <w:r w:rsidR="00316109">
        <w:rPr>
          <w:rFonts w:ascii="Cambria" w:hAnsi="Cambria" w:cs="Times New Roman"/>
        </w:rPr>
        <w:t>terdiri</w:t>
      </w:r>
      <w:proofErr w:type="spellEnd"/>
      <w:r w:rsidR="00316109">
        <w:rPr>
          <w:rFonts w:ascii="Cambria" w:hAnsi="Cambria" w:cs="Times New Roman"/>
        </w:rPr>
        <w:t xml:space="preserve"> </w:t>
      </w:r>
      <w:proofErr w:type="spellStart"/>
      <w:r w:rsidR="00316109">
        <w:rPr>
          <w:rFonts w:ascii="Cambria" w:hAnsi="Cambria" w:cs="Times New Roman"/>
        </w:rPr>
        <w:t>dari</w:t>
      </w:r>
      <w:proofErr w:type="spellEnd"/>
      <w:r w:rsidR="00316109">
        <w:rPr>
          <w:rFonts w:ascii="Cambria" w:hAnsi="Cambria" w:cs="Times New Roman"/>
        </w:rPr>
        <w:t xml:space="preserve"> </w:t>
      </w:r>
      <w:proofErr w:type="spellStart"/>
      <w:r w:rsidR="00316109">
        <w:rPr>
          <w:rFonts w:ascii="Cambria" w:hAnsi="Cambria" w:cs="Times New Roman"/>
        </w:rPr>
        <w:t>berbagai</w:t>
      </w:r>
      <w:proofErr w:type="spellEnd"/>
      <w:r w:rsidR="00316109">
        <w:rPr>
          <w:rFonts w:ascii="Cambria" w:hAnsi="Cambria" w:cs="Times New Roman"/>
        </w:rPr>
        <w:t xml:space="preserve"> </w:t>
      </w:r>
      <w:r w:rsidRPr="00BE0D55">
        <w:rPr>
          <w:rFonts w:ascii="Cambria" w:hAnsi="Cambria" w:cs="Times New Roman"/>
        </w:rPr>
        <w:t xml:space="preserve">vitamin </w:t>
      </w:r>
      <w:r w:rsidR="00316109">
        <w:rPr>
          <w:rFonts w:ascii="Cambria" w:hAnsi="Cambria" w:cs="Times New Roman"/>
        </w:rPr>
        <w:t>dan juga</w:t>
      </w:r>
      <w:r w:rsidRPr="00BE0D55">
        <w:rPr>
          <w:rFonts w:ascii="Cambria" w:hAnsi="Cambria" w:cs="Times New Roman"/>
        </w:rPr>
        <w:t xml:space="preserve"> mineral, </w:t>
      </w:r>
      <w:proofErr w:type="spellStart"/>
      <w:r w:rsidRPr="00BE0D55">
        <w:rPr>
          <w:rFonts w:ascii="Cambria" w:hAnsi="Cambria" w:cs="Times New Roman"/>
        </w:rPr>
        <w:t>selain</w:t>
      </w:r>
      <w:proofErr w:type="spellEnd"/>
      <w:r w:rsidRPr="00BE0D55">
        <w:rPr>
          <w:rFonts w:ascii="Cambria" w:hAnsi="Cambria" w:cs="Times New Roman"/>
        </w:rPr>
        <w:t xml:space="preserve"> </w:t>
      </w:r>
      <w:proofErr w:type="spellStart"/>
      <w:r w:rsidRPr="00BE0D55">
        <w:rPr>
          <w:rFonts w:ascii="Cambria" w:hAnsi="Cambria" w:cs="Times New Roman"/>
        </w:rPr>
        <w:t>itu</w:t>
      </w:r>
      <w:proofErr w:type="spellEnd"/>
      <w:r w:rsidRPr="00BE0D55">
        <w:rPr>
          <w:rFonts w:ascii="Cambria" w:hAnsi="Cambria" w:cs="Times New Roman"/>
        </w:rPr>
        <w:t xml:space="preserve"> </w:t>
      </w:r>
      <w:proofErr w:type="spellStart"/>
      <w:r w:rsidRPr="00BE0D55">
        <w:rPr>
          <w:rFonts w:ascii="Cambria" w:hAnsi="Cambria" w:cs="Times New Roman"/>
        </w:rPr>
        <w:t>kandungan</w:t>
      </w:r>
      <w:proofErr w:type="spellEnd"/>
      <w:r w:rsidRPr="00BE0D55">
        <w:rPr>
          <w:rFonts w:ascii="Cambria" w:hAnsi="Cambria" w:cs="Times New Roman"/>
        </w:rPr>
        <w:t xml:space="preserve"> </w:t>
      </w:r>
      <w:proofErr w:type="spellStart"/>
      <w:r w:rsidRPr="00BE0D55">
        <w:rPr>
          <w:rFonts w:ascii="Cambria" w:hAnsi="Cambria" w:cs="Times New Roman"/>
        </w:rPr>
        <w:t>bioaktif</w:t>
      </w:r>
      <w:proofErr w:type="spellEnd"/>
      <w:r w:rsidRPr="00BE0D55">
        <w:rPr>
          <w:rFonts w:ascii="Cambria" w:hAnsi="Cambria" w:cs="Times New Roman"/>
        </w:rPr>
        <w:t xml:space="preserve"> </w:t>
      </w:r>
      <w:proofErr w:type="spellStart"/>
      <w:r w:rsidRPr="00BE0D55">
        <w:rPr>
          <w:rFonts w:ascii="Cambria" w:hAnsi="Cambria" w:cs="Times New Roman"/>
        </w:rPr>
        <w:t>dari</w:t>
      </w:r>
      <w:proofErr w:type="spellEnd"/>
      <w:r w:rsidRPr="00BE0D55">
        <w:rPr>
          <w:rFonts w:ascii="Cambria" w:hAnsi="Cambria" w:cs="Times New Roman"/>
        </w:rPr>
        <w:t xml:space="preserve"> </w:t>
      </w:r>
      <w:proofErr w:type="spellStart"/>
      <w:r w:rsidRPr="00BE0D55">
        <w:rPr>
          <w:rFonts w:ascii="Cambria" w:hAnsi="Cambria" w:cs="Times New Roman"/>
        </w:rPr>
        <w:t>tanaman</w:t>
      </w:r>
      <w:proofErr w:type="spellEnd"/>
      <w:r w:rsidR="00AE2093">
        <w:rPr>
          <w:rFonts w:ascii="Cambria" w:hAnsi="Cambria" w:cs="Times New Roman"/>
        </w:rPr>
        <w:t xml:space="preserve"> </w:t>
      </w:r>
      <w:proofErr w:type="spellStart"/>
      <w:r w:rsidR="00AE2093">
        <w:rPr>
          <w:rFonts w:ascii="Cambria" w:hAnsi="Cambria" w:cs="Times New Roman"/>
        </w:rPr>
        <w:t>jenis</w:t>
      </w:r>
      <w:proofErr w:type="spellEnd"/>
      <w:r w:rsidR="00AE2093">
        <w:rPr>
          <w:rFonts w:ascii="Cambria" w:hAnsi="Cambria" w:cs="Times New Roman"/>
        </w:rPr>
        <w:t xml:space="preserve"> </w:t>
      </w:r>
      <w:proofErr w:type="spellStart"/>
      <w:r w:rsidR="00AE2093">
        <w:rPr>
          <w:rFonts w:ascii="Cambria" w:hAnsi="Cambria" w:cs="Times New Roman"/>
        </w:rPr>
        <w:t>polifenol</w:t>
      </w:r>
      <w:proofErr w:type="spellEnd"/>
      <w:r w:rsidR="00AE2093">
        <w:rPr>
          <w:rFonts w:ascii="Cambria" w:hAnsi="Cambria" w:cs="Times New Roman"/>
        </w:rPr>
        <w:t xml:space="preserve"> </w:t>
      </w:r>
      <w:proofErr w:type="spellStart"/>
      <w:r w:rsidR="00AE2093">
        <w:rPr>
          <w:rFonts w:ascii="Cambria" w:hAnsi="Cambria" w:cs="Times New Roman"/>
        </w:rPr>
        <w:t>seperti</w:t>
      </w:r>
      <w:proofErr w:type="spellEnd"/>
      <w:r w:rsidR="00AE2093">
        <w:rPr>
          <w:rFonts w:ascii="Cambria" w:hAnsi="Cambria" w:cs="Times New Roman"/>
        </w:rPr>
        <w:t xml:space="preserve"> </w:t>
      </w:r>
      <w:proofErr w:type="spellStart"/>
      <w:r w:rsidR="00AE2093" w:rsidRPr="00AE2093">
        <w:rPr>
          <w:rFonts w:ascii="Cambria" w:hAnsi="Cambria" w:cs="Times New Roman"/>
        </w:rPr>
        <w:t>asam</w:t>
      </w:r>
      <w:proofErr w:type="spellEnd"/>
      <w:r w:rsidR="00AE2093" w:rsidRPr="00AE2093">
        <w:rPr>
          <w:rFonts w:ascii="Cambria" w:hAnsi="Cambria" w:cs="Times New Roman"/>
        </w:rPr>
        <w:t xml:space="preserve"> caffeic, kaempferol, resveratrol, curcumin, quercetin, catechin, </w:t>
      </w:r>
      <w:proofErr w:type="spellStart"/>
      <w:r w:rsidR="00AE2093" w:rsidRPr="00AE2093">
        <w:rPr>
          <w:rFonts w:ascii="Cambria" w:hAnsi="Cambria" w:cs="Times New Roman"/>
        </w:rPr>
        <w:t>atau</w:t>
      </w:r>
      <w:proofErr w:type="spellEnd"/>
      <w:r w:rsidR="00AE2093" w:rsidRPr="00AE2093">
        <w:rPr>
          <w:rFonts w:ascii="Cambria" w:hAnsi="Cambria" w:cs="Times New Roman"/>
        </w:rPr>
        <w:t xml:space="preserve"> hesperidin</w:t>
      </w:r>
      <w:r w:rsidR="006F29FB">
        <w:rPr>
          <w:rFonts w:ascii="Cambria" w:hAnsi="Cambria" w:cs="Times New Roman"/>
        </w:rPr>
        <w:t xml:space="preserve"> </w:t>
      </w:r>
      <w:r w:rsidRPr="00BE0D55">
        <w:rPr>
          <w:rFonts w:ascii="Cambria" w:hAnsi="Cambria" w:cs="Times New Roman"/>
        </w:rPr>
        <w:t xml:space="preserve">juga </w:t>
      </w:r>
      <w:proofErr w:type="spellStart"/>
      <w:r w:rsidRPr="00BE0D55">
        <w:rPr>
          <w:rFonts w:ascii="Cambria" w:hAnsi="Cambria" w:cs="Times New Roman"/>
        </w:rPr>
        <w:t>memiliki</w:t>
      </w:r>
      <w:proofErr w:type="spellEnd"/>
      <w:r w:rsidRPr="00BE0D55">
        <w:rPr>
          <w:rFonts w:ascii="Cambria" w:hAnsi="Cambria" w:cs="Times New Roman"/>
        </w:rPr>
        <w:t xml:space="preserve"> </w:t>
      </w:r>
      <w:proofErr w:type="spellStart"/>
      <w:r w:rsidRPr="00BE0D55">
        <w:rPr>
          <w:rFonts w:ascii="Cambria" w:hAnsi="Cambria" w:cs="Times New Roman"/>
        </w:rPr>
        <w:t>peran</w:t>
      </w:r>
      <w:proofErr w:type="spellEnd"/>
      <w:r w:rsidRPr="00BE0D55">
        <w:rPr>
          <w:rFonts w:ascii="Cambria" w:hAnsi="Cambria" w:cs="Times New Roman"/>
        </w:rPr>
        <w:t xml:space="preserve"> </w:t>
      </w:r>
      <w:proofErr w:type="spellStart"/>
      <w:r w:rsidRPr="00BE0D55">
        <w:rPr>
          <w:rFonts w:ascii="Cambria" w:hAnsi="Cambria" w:cs="Times New Roman"/>
        </w:rPr>
        <w:t>dalam</w:t>
      </w:r>
      <w:proofErr w:type="spellEnd"/>
      <w:r w:rsidRPr="00BE0D55">
        <w:rPr>
          <w:rFonts w:ascii="Cambria" w:hAnsi="Cambria" w:cs="Times New Roman"/>
        </w:rPr>
        <w:t xml:space="preserve"> </w:t>
      </w:r>
      <w:proofErr w:type="spellStart"/>
      <w:r w:rsidR="00AE2093" w:rsidRPr="00AE2093">
        <w:rPr>
          <w:rFonts w:ascii="Cambria" w:hAnsi="Cambria" w:cs="Times New Roman"/>
        </w:rPr>
        <w:t>mengurangi</w:t>
      </w:r>
      <w:proofErr w:type="spellEnd"/>
      <w:r w:rsidR="00AE2093" w:rsidRPr="00AE2093">
        <w:rPr>
          <w:rFonts w:ascii="Cambria" w:hAnsi="Cambria" w:cs="Times New Roman"/>
        </w:rPr>
        <w:t xml:space="preserve"> </w:t>
      </w:r>
      <w:proofErr w:type="spellStart"/>
      <w:r w:rsidR="00AE2093" w:rsidRPr="00AE2093">
        <w:rPr>
          <w:rFonts w:ascii="Cambria" w:hAnsi="Cambria" w:cs="Times New Roman"/>
        </w:rPr>
        <w:t>peradangan</w:t>
      </w:r>
      <w:proofErr w:type="spellEnd"/>
      <w:r w:rsidR="00AE2093" w:rsidRPr="00AE2093">
        <w:rPr>
          <w:rFonts w:ascii="Cambria" w:hAnsi="Cambria" w:cs="Times New Roman"/>
        </w:rPr>
        <w:t xml:space="preserve"> dan </w:t>
      </w:r>
      <w:proofErr w:type="spellStart"/>
      <w:r w:rsidR="00AE2093" w:rsidRPr="00AE2093">
        <w:rPr>
          <w:rFonts w:ascii="Cambria" w:hAnsi="Cambria" w:cs="Times New Roman"/>
        </w:rPr>
        <w:t>mencegah</w:t>
      </w:r>
      <w:proofErr w:type="spellEnd"/>
      <w:r w:rsidR="00AE2093" w:rsidRPr="00AE2093">
        <w:rPr>
          <w:rFonts w:ascii="Cambria" w:hAnsi="Cambria" w:cs="Times New Roman"/>
        </w:rPr>
        <w:t xml:space="preserve"> proses </w:t>
      </w:r>
      <w:proofErr w:type="spellStart"/>
      <w:r w:rsidR="00AE2093" w:rsidRPr="00AE2093">
        <w:rPr>
          <w:rFonts w:ascii="Cambria" w:hAnsi="Cambria" w:cs="Times New Roman"/>
        </w:rPr>
        <w:t>oksidasi</w:t>
      </w:r>
      <w:proofErr w:type="spellEnd"/>
      <w:r w:rsidR="00FE7A42">
        <w:rPr>
          <w:rFonts w:ascii="Cambria" w:hAnsi="Cambria" w:cs="Times New Roman"/>
        </w:rPr>
        <w:t xml:space="preserve"> </w:t>
      </w:r>
      <w:r w:rsidR="00FE7A42">
        <w:rPr>
          <w:rFonts w:ascii="Cambria" w:hAnsi="Cambria" w:cs="Times New Roman"/>
        </w:rPr>
        <w:fldChar w:fldCharType="begin" w:fldLock="1"/>
      </w:r>
      <w:r w:rsidR="00FE7A42">
        <w:rPr>
          <w:rFonts w:ascii="Cambria" w:hAnsi="Cambria" w:cs="Times New Roman"/>
        </w:rPr>
        <w:instrText>ADDIN CSL_CITATION {"citationItems":[{"id":"ITEM-1","itemData":{"DOI":"10.3390/molecules25245888","ISSN":"14203049","PMID":"33322757","abstract":"SARS-CoV-2 first emerged in China during late 2019 and rapidly spread all over the world. Alterations in the inflammatory cytokines pathway represent a strong signature during SARS-COV-2 infection and correlate with poor prognosis and severity of the illness. The hyper-activation of the immune system results in an acute severe systemic inflammatory response named cytokine release syndrome (CRS). No effective prophylactic or post-exposure treatments are available, although some anti-inflammatory compounds are currently in clinical trials. Studies of plant extracts and natural compounds show that polyphenols can play a beneficial role in the prevention and the progress of chronic diseases related to inflammation. The aim of this manuscript is to review the published background on the possible effectiveness of polyphenols to fight SARS-COV-2 infection, contributing to the reduction of inflammation. Here, some of the anti-inflammatory therapies are discussed and although great progress has been made though this year, there is no proven cytokine blocking agents for COVID currently used in clinical practice. In this regard, bioactive phytochemicals such as polyphenols may become promising tools to be used as adjuvants in the treatment of SARS-CoV-2 infection. Such nutrients, with anti-inflammatory and antioxidant properties, associated to classical anti-inflammatory drugs, could help in reducing the inflammation in patients with COVID-19.","author":[{"dropping-particle":"","family":"Giovinazzo","given":"Giovanna","non-dropping-particle":"","parse-names":false,"suffix":""},{"dropping-particle":"","family":"Gerardi","given":"Carmela","non-dropping-particle":"","parse-names":false,"suffix":""},{"dropping-particle":"","family":"Uberti-Foppa","given":"Caterina","non-dropping-particle":"","parse-names":false,"suffix":""},{"dropping-particle":"","family":"Lopalco","given":"Lucia","non-dropping-particle":"","parse-names":false,"suffix":""}],"container-title":"Molecules (Basel, Switzerland)","id":"ITEM-1","issue":"24","issued":{"date-parts":[["2020"]]},"page":"1-14","title":"Can Natural Polyphenols Help in Reducing Cytokine Storm in COVID-19 Patients?","type":"article-journal","volume":"25"},"uris":["http://www.mendeley.com/documents/?uuid=39d77c3b-7330-4a75-bcdd-ebe3f83a8675"]}],"mendeley":{"formattedCitation":"(Giovinazzo et al., 2020)","plainTextFormattedCitation":"(Giovinazzo et al., 2020)","previouslyFormattedCitation":"(Giovinazzo et al., 2020)"},"properties":{"noteIndex":0},"schema":"https://github.com/citation-style-language/schema/raw/master/csl-citation.json"}</w:instrText>
      </w:r>
      <w:r w:rsidR="00FE7A42">
        <w:rPr>
          <w:rFonts w:ascii="Cambria" w:hAnsi="Cambria" w:cs="Times New Roman"/>
        </w:rPr>
        <w:fldChar w:fldCharType="separate"/>
      </w:r>
      <w:r w:rsidR="00FE7A42" w:rsidRPr="00FE7A42">
        <w:rPr>
          <w:rFonts w:ascii="Cambria" w:hAnsi="Cambria" w:cs="Times New Roman"/>
          <w:noProof/>
        </w:rPr>
        <w:t>(Giovinazzo et al., 2020)</w:t>
      </w:r>
      <w:r w:rsidR="00FE7A42">
        <w:rPr>
          <w:rFonts w:ascii="Cambria" w:hAnsi="Cambria" w:cs="Times New Roman"/>
        </w:rPr>
        <w:fldChar w:fldCharType="end"/>
      </w:r>
      <w:r w:rsidR="006F29FB">
        <w:rPr>
          <w:rFonts w:ascii="Cambria" w:hAnsi="Cambria" w:cs="Times New Roman"/>
        </w:rPr>
        <w:t xml:space="preserve">. </w:t>
      </w:r>
      <w:proofErr w:type="spellStart"/>
      <w:r w:rsidR="00FE7A42">
        <w:rPr>
          <w:rFonts w:ascii="Cambria" w:hAnsi="Cambria" w:cs="Times New Roman"/>
        </w:rPr>
        <w:t>Polifenol</w:t>
      </w:r>
      <w:proofErr w:type="spellEnd"/>
      <w:r w:rsidR="00FE7A42">
        <w:rPr>
          <w:rFonts w:ascii="Cambria" w:hAnsi="Cambria" w:cs="Times New Roman"/>
        </w:rPr>
        <w:t xml:space="preserve"> </w:t>
      </w:r>
      <w:proofErr w:type="spellStart"/>
      <w:r w:rsidR="00FE7A42">
        <w:rPr>
          <w:rFonts w:ascii="Cambria" w:hAnsi="Cambria" w:cs="Times New Roman"/>
        </w:rPr>
        <w:t>merupakan</w:t>
      </w:r>
      <w:proofErr w:type="spellEnd"/>
      <w:r w:rsidR="00FE7A42">
        <w:rPr>
          <w:rFonts w:ascii="Cambria" w:hAnsi="Cambria" w:cs="Times New Roman"/>
        </w:rPr>
        <w:t xml:space="preserve"> </w:t>
      </w:r>
      <w:proofErr w:type="spellStart"/>
      <w:r w:rsidR="00FE7A42">
        <w:rPr>
          <w:rFonts w:ascii="Cambria" w:hAnsi="Cambria" w:cs="Times New Roman"/>
        </w:rPr>
        <w:t>senyawa</w:t>
      </w:r>
      <w:proofErr w:type="spellEnd"/>
      <w:r w:rsidR="00FE7A42">
        <w:rPr>
          <w:rFonts w:ascii="Cambria" w:hAnsi="Cambria" w:cs="Times New Roman"/>
        </w:rPr>
        <w:t xml:space="preserve"> </w:t>
      </w:r>
      <w:proofErr w:type="spellStart"/>
      <w:r w:rsidR="00FE7A42">
        <w:rPr>
          <w:rFonts w:ascii="Cambria" w:hAnsi="Cambria" w:cs="Times New Roman"/>
        </w:rPr>
        <w:t>utama</w:t>
      </w:r>
      <w:proofErr w:type="spellEnd"/>
      <w:r w:rsidR="00FE7A42">
        <w:rPr>
          <w:rFonts w:ascii="Cambria" w:hAnsi="Cambria" w:cs="Times New Roman"/>
        </w:rPr>
        <w:t xml:space="preserve"> </w:t>
      </w:r>
      <w:proofErr w:type="spellStart"/>
      <w:r w:rsidR="00FE7A42">
        <w:rPr>
          <w:rFonts w:ascii="Cambria" w:hAnsi="Cambria" w:cs="Times New Roman"/>
        </w:rPr>
        <w:t>dari</w:t>
      </w:r>
      <w:proofErr w:type="spellEnd"/>
      <w:r w:rsidR="00FE7A42">
        <w:rPr>
          <w:rFonts w:ascii="Cambria" w:hAnsi="Cambria" w:cs="Times New Roman"/>
        </w:rPr>
        <w:t xml:space="preserve"> </w:t>
      </w:r>
      <w:proofErr w:type="spellStart"/>
      <w:r w:rsidR="00FE7A42">
        <w:rPr>
          <w:rFonts w:ascii="Cambria" w:hAnsi="Cambria" w:cs="Times New Roman"/>
        </w:rPr>
        <w:t>obat-obatan</w:t>
      </w:r>
      <w:proofErr w:type="spellEnd"/>
      <w:r w:rsidR="00FE7A42">
        <w:rPr>
          <w:rFonts w:ascii="Cambria" w:hAnsi="Cambria" w:cs="Times New Roman"/>
        </w:rPr>
        <w:t xml:space="preserve"> yang </w:t>
      </w:r>
      <w:proofErr w:type="spellStart"/>
      <w:r w:rsidR="00FE7A42">
        <w:rPr>
          <w:rFonts w:ascii="Cambria" w:hAnsi="Cambria" w:cs="Times New Roman"/>
        </w:rPr>
        <w:t>ditemukan</w:t>
      </w:r>
      <w:proofErr w:type="spellEnd"/>
      <w:r w:rsidR="00FE7A42">
        <w:rPr>
          <w:rFonts w:ascii="Cambria" w:hAnsi="Cambria" w:cs="Times New Roman"/>
        </w:rPr>
        <w:t xml:space="preserve"> </w:t>
      </w:r>
      <w:proofErr w:type="spellStart"/>
      <w:r w:rsidR="00FE7A42">
        <w:rPr>
          <w:rFonts w:ascii="Cambria" w:hAnsi="Cambria" w:cs="Times New Roman"/>
        </w:rPr>
        <w:t>untuk</w:t>
      </w:r>
      <w:proofErr w:type="spellEnd"/>
      <w:r w:rsidR="00FE7A42">
        <w:rPr>
          <w:rFonts w:ascii="Cambria" w:hAnsi="Cambria" w:cs="Times New Roman"/>
        </w:rPr>
        <w:t xml:space="preserve"> </w:t>
      </w:r>
      <w:proofErr w:type="spellStart"/>
      <w:r w:rsidR="00FE7A42">
        <w:rPr>
          <w:rFonts w:ascii="Cambria" w:hAnsi="Cambria" w:cs="Times New Roman"/>
        </w:rPr>
        <w:t>melawan</w:t>
      </w:r>
      <w:proofErr w:type="spellEnd"/>
      <w:r w:rsidR="00FE7A42">
        <w:rPr>
          <w:rFonts w:ascii="Cambria" w:hAnsi="Cambria" w:cs="Times New Roman"/>
        </w:rPr>
        <w:t xml:space="preserve"> </w:t>
      </w:r>
      <w:proofErr w:type="spellStart"/>
      <w:r w:rsidR="00FE7A42">
        <w:rPr>
          <w:rFonts w:ascii="Cambria" w:hAnsi="Cambria" w:cs="Times New Roman"/>
        </w:rPr>
        <w:t>berbagai</w:t>
      </w:r>
      <w:proofErr w:type="spellEnd"/>
      <w:r w:rsidR="00FE7A42">
        <w:rPr>
          <w:rFonts w:ascii="Cambria" w:hAnsi="Cambria" w:cs="Times New Roman"/>
        </w:rPr>
        <w:t xml:space="preserve"> </w:t>
      </w:r>
      <w:proofErr w:type="spellStart"/>
      <w:r w:rsidR="00FE7A42">
        <w:rPr>
          <w:rFonts w:ascii="Cambria" w:hAnsi="Cambria" w:cs="Times New Roman"/>
        </w:rPr>
        <w:t>penyakit</w:t>
      </w:r>
      <w:proofErr w:type="spellEnd"/>
      <w:r w:rsidR="00FE7A42">
        <w:rPr>
          <w:rFonts w:ascii="Cambria" w:hAnsi="Cambria" w:cs="Times New Roman"/>
        </w:rPr>
        <w:t xml:space="preserve"> pada </w:t>
      </w:r>
      <w:proofErr w:type="spellStart"/>
      <w:r w:rsidR="00FE7A42">
        <w:rPr>
          <w:rFonts w:ascii="Cambria" w:hAnsi="Cambria" w:cs="Times New Roman"/>
        </w:rPr>
        <w:t>manusia</w:t>
      </w:r>
      <w:proofErr w:type="spellEnd"/>
      <w:r w:rsidR="00FE7A42">
        <w:rPr>
          <w:rFonts w:ascii="Cambria" w:hAnsi="Cambria" w:cs="Times New Roman"/>
        </w:rPr>
        <w:t xml:space="preserve"> </w:t>
      </w:r>
      <w:r w:rsidR="00FE7A42">
        <w:rPr>
          <w:rFonts w:ascii="Cambria" w:hAnsi="Cambria" w:cs="Times New Roman"/>
        </w:rPr>
        <w:fldChar w:fldCharType="begin" w:fldLock="1"/>
      </w:r>
      <w:r w:rsidR="00BE2220">
        <w:rPr>
          <w:rFonts w:ascii="Cambria" w:hAnsi="Cambria" w:cs="Times New Roman"/>
        </w:rPr>
        <w:instrText>ADDIN CSL_CITATION {"citationItems":[{"id":"ITEM-1","itemData":{"DOI":"10.1016/j.phymed.2020.153310","ISSN":"1618095X","PMID":"32948420","abstract":"Background: SARS-CoV-2, an emerging strain of coronavirus, has affected millions of people from all the continents of world and received worldwide attention. This emerging health crisis calls for the urgent development of specific therapeutics against COVID-19 to potentially reduce the burden of this emerging pandemic. Purpose: This study aims to evaluate the anti-viral efficacy of natural bioactive entities against COVID-19 via molecular docking and molecular dynamics simulation. Methods: A library of 27 caffeic-acid derivatives was screened against 5 proteins of SARS-CoV-2 by using Molegro Virtual Docker 7 to obtain the binding energies and interactions between compounds and SARS-CoV-2 proteins. ADME properties and toxicity profiles were investigated via www.swissadme.ch web tools and Toxtree respectively. Molecular dynamics simulation was performed to determine the stability of the lead-protein interactions. Results: Our obtained results has uncovered khainaoside C, 6-O-Caffeoylarbutin, khainaoside B, khainaoside C and vitexfolin A as potent modulators of COVID-19 possessing more binding energies than nelfinavir against COVID-19 Mpro, Nsp15, SARS-CoV-2 spike S2 subunit, spike open state and closed state structure respectively. While Calceolarioside B was identified as pan inhibitor, showing strong molecular interactions with all proteins except SARS-CoV-2 spike glycoprotein closed state. The results are supported by 20 ns molecular dynamics simulations of the best complexes. Conclusion: This study will hopefully pave a way for development of phytonutrients-based antiviral therapeutic for treatment or prevention of COVID-19 and further studies are recommended to evaluate the antiviral effects of these phytochemicals against SARS-CoV-2 in in vitro and in vivo models.","author":[{"dropping-particle":"","family":"Adem","given":"Şevki","non-dropping-particle":"","parse-names":false,"suffix":""},{"dropping-particle":"","family":"Eyupoglu","given":"Volkan","non-dropping-particle":"","parse-names":false,"suffix":""},{"dropping-particle":"","family":"Sarfraz","given":"Iqra","non-dropping-particle":"","parse-names":false,"suffix":""},{"dropping-particle":"","family":"Rasul","given":"Azhar","non-dropping-particle":"","parse-names":false,"suffix":""},{"dropping-particle":"","family":"Zahoor","given":"Ameer Fawad","non-dropping-particle":"","parse-names":false,"suffix":""},{"dropping-particle":"","family":"Ali","given":"Muhammad","non-dropping-particle":"","parse-names":false,"suffix":""},{"dropping-particle":"","family":"Abdalla","given":"Mohnad","non-dropping-particle":"","parse-names":false,"suffix":""},{"dropping-particle":"","family":"Ibrahim","given":"Ibrahim M.","non-dropping-particle":"","parse-names":false,"suffix":""},{"dropping-particle":"","family":"Elfiky","given":"Abdo A.","non-dropping-particle":"","parse-names":false,"suffix":""}],"container-title":"Phytomedicine","id":"ITEM-1","issue":"April 2020","issued":{"date-parts":[["2021"]]},"title":"Caffeic acid derivatives (CAFDs) as inhibitors of SARS-CoV-2: CAFDs-based functional foods as a potential alternative approach to combat COVID-19","type":"article-journal","volume":"85"},"uris":["http://www.mendeley.com/documents/?uuid=0fd77a37-af5d-44ba-b340-3d3bb509127c"]}],"mendeley":{"formattedCitation":"(Adem et al., 2021)","plainTextFormattedCitation":"(Adem et al., 2021)","previouslyFormattedCitation":"(Adem et al., 2021)"},"properties":{"noteIndex":0},"schema":"https://github.com/citation-style-language/schema/raw/master/csl-citation.json"}</w:instrText>
      </w:r>
      <w:r w:rsidR="00FE7A42">
        <w:rPr>
          <w:rFonts w:ascii="Cambria" w:hAnsi="Cambria" w:cs="Times New Roman"/>
        </w:rPr>
        <w:fldChar w:fldCharType="separate"/>
      </w:r>
      <w:r w:rsidR="00FE7A42" w:rsidRPr="00FE7A42">
        <w:rPr>
          <w:rFonts w:ascii="Cambria" w:hAnsi="Cambria" w:cs="Times New Roman"/>
          <w:noProof/>
        </w:rPr>
        <w:t>(Adem et al., 2021)</w:t>
      </w:r>
      <w:r w:rsidR="00FE7A42">
        <w:rPr>
          <w:rFonts w:ascii="Cambria" w:hAnsi="Cambria" w:cs="Times New Roman"/>
        </w:rPr>
        <w:fldChar w:fldCharType="end"/>
      </w:r>
      <w:r w:rsidR="00FE7A42">
        <w:rPr>
          <w:rFonts w:ascii="Cambria" w:hAnsi="Cambria" w:cs="Times New Roman"/>
        </w:rPr>
        <w:t xml:space="preserve">. </w:t>
      </w:r>
      <w:proofErr w:type="spellStart"/>
      <w:r w:rsidR="00812CA1">
        <w:rPr>
          <w:rFonts w:ascii="Cambria" w:hAnsi="Cambria" w:cs="Times New Roman"/>
        </w:rPr>
        <w:t>Berdasarka</w:t>
      </w:r>
      <w:r w:rsidR="00812CA1">
        <w:rPr>
          <w:rFonts w:ascii="Cambria" w:hAnsi="Cambria" w:cs="Times New Roman"/>
        </w:rPr>
        <w:t>n</w:t>
      </w:r>
      <w:proofErr w:type="spellEnd"/>
      <w:r w:rsidR="00812CA1">
        <w:rPr>
          <w:rFonts w:ascii="Cambria" w:hAnsi="Cambria" w:cs="Times New Roman"/>
        </w:rPr>
        <w:t xml:space="preserve"> </w:t>
      </w:r>
      <w:r w:rsidR="00812CA1">
        <w:rPr>
          <w:rFonts w:ascii="Cambria" w:hAnsi="Cambria" w:cs="Times New Roman"/>
        </w:rPr>
        <w:fldChar w:fldCharType="begin" w:fldLock="1"/>
      </w:r>
      <w:r w:rsidR="00EF6D5B">
        <w:rPr>
          <w:rFonts w:ascii="Cambria" w:hAnsi="Cambria" w:cs="Times New Roman"/>
        </w:rPr>
        <w:instrText>ADDIN CSL_CITATION {"citationItems":[{"id":"ITEM-1","itemData":{"DOI":"https://doi.org/10.1016/j.biopha.2022.112658","author":[{"dropping-particle":"","family":"Ali","given":"Sabeeha","non-dropping-particle":"","parse-names":false,"suffix":""},{"dropping-particle":"","family":"Alam","given":"Manzar","non-dropping-particle":"","parse-names":false,"suffix":""},{"dropping-particle":"","family":"Khatoon","given":"Fatima","non-dropping-particle":"","parse-names":false,"suffix":""},{"dropping-particle":"","family":"Fatima","given":"Urooj","non-dropping-particle":"","parse-names":false,"suffix":""}],"container-title":"Biomedicine &amp; Pharmacotherapy","id":"ITEM-1","issue":"January","issued":{"date-parts":[["2020"]]},"page":"112658","title":"Natural products can be used in therapeutic management of COVID-19: Probable mechanistic insights","type":"article-journal","volume":"147"},"uris":["http://www.mendeley.com/documents/?uuid=37821a94-ce1c-491b-878b-0f37186b0a2c"]}],"mendeley":{"formattedCitation":"(Ali et al., 2020)","manualFormatting":"Ali et al., (2020)","plainTextFormattedCitation":"(Ali et al., 2020)","previouslyFormattedCitation":"(Ali et al., 2020)"},"properties":{"noteIndex":0},"schema":"https://github.com/citation-style-language/schema/raw/master/csl-citation.json"}</w:instrText>
      </w:r>
      <w:r w:rsidR="00812CA1">
        <w:rPr>
          <w:rFonts w:ascii="Cambria" w:hAnsi="Cambria" w:cs="Times New Roman"/>
        </w:rPr>
        <w:fldChar w:fldCharType="separate"/>
      </w:r>
      <w:r w:rsidR="00812CA1" w:rsidRPr="00812CA1">
        <w:rPr>
          <w:rFonts w:ascii="Cambria" w:hAnsi="Cambria" w:cs="Times New Roman"/>
          <w:noProof/>
        </w:rPr>
        <w:t xml:space="preserve">Ali et al., </w:t>
      </w:r>
      <w:r w:rsidR="00812CA1">
        <w:rPr>
          <w:rFonts w:ascii="Cambria" w:hAnsi="Cambria" w:cs="Times New Roman"/>
          <w:noProof/>
        </w:rPr>
        <w:t>(</w:t>
      </w:r>
      <w:r w:rsidR="00812CA1" w:rsidRPr="00812CA1">
        <w:rPr>
          <w:rFonts w:ascii="Cambria" w:hAnsi="Cambria" w:cs="Times New Roman"/>
          <w:noProof/>
        </w:rPr>
        <w:t>2020)</w:t>
      </w:r>
      <w:r w:rsidR="00812CA1">
        <w:rPr>
          <w:rFonts w:ascii="Cambria" w:hAnsi="Cambria" w:cs="Times New Roman"/>
        </w:rPr>
        <w:fldChar w:fldCharType="end"/>
      </w:r>
      <w:r w:rsidR="00812CA1">
        <w:rPr>
          <w:rFonts w:ascii="Cambria" w:hAnsi="Cambria" w:cs="Times New Roman"/>
        </w:rPr>
        <w:t xml:space="preserve"> </w:t>
      </w:r>
      <w:proofErr w:type="spellStart"/>
      <w:r w:rsidR="00812CA1">
        <w:rPr>
          <w:rFonts w:ascii="Cambria" w:hAnsi="Cambria" w:cs="Times New Roman"/>
        </w:rPr>
        <w:t>k</w:t>
      </w:r>
      <w:r w:rsidR="00812CA1" w:rsidRPr="00812CA1">
        <w:rPr>
          <w:rFonts w:ascii="Cambria" w:hAnsi="Cambria" w:cs="Times New Roman"/>
        </w:rPr>
        <w:t>onsumsi</w:t>
      </w:r>
      <w:proofErr w:type="spellEnd"/>
      <w:r w:rsidR="00812CA1" w:rsidRPr="00812CA1">
        <w:rPr>
          <w:rFonts w:ascii="Cambria" w:hAnsi="Cambria" w:cs="Times New Roman"/>
        </w:rPr>
        <w:t xml:space="preserve"> </w:t>
      </w:r>
      <w:proofErr w:type="spellStart"/>
      <w:r w:rsidR="00FE7A42">
        <w:rPr>
          <w:rFonts w:ascii="Cambria" w:hAnsi="Cambria" w:cs="Times New Roman"/>
        </w:rPr>
        <w:t>kandungan</w:t>
      </w:r>
      <w:proofErr w:type="spellEnd"/>
      <w:r w:rsidR="00FE7A42">
        <w:rPr>
          <w:rFonts w:ascii="Cambria" w:hAnsi="Cambria" w:cs="Times New Roman"/>
        </w:rPr>
        <w:t xml:space="preserve"> </w:t>
      </w:r>
      <w:proofErr w:type="spellStart"/>
      <w:r w:rsidR="00FE7A42">
        <w:rPr>
          <w:rFonts w:ascii="Cambria" w:hAnsi="Cambria" w:cs="Times New Roman"/>
        </w:rPr>
        <w:t>bioaktif</w:t>
      </w:r>
      <w:proofErr w:type="spellEnd"/>
      <w:r w:rsidR="00FE7A42">
        <w:rPr>
          <w:rFonts w:ascii="Cambria" w:hAnsi="Cambria" w:cs="Times New Roman"/>
        </w:rPr>
        <w:t xml:space="preserve"> </w:t>
      </w:r>
      <w:proofErr w:type="spellStart"/>
      <w:r w:rsidR="00FE7A42">
        <w:rPr>
          <w:rFonts w:ascii="Cambria" w:hAnsi="Cambria" w:cs="Times New Roman"/>
        </w:rPr>
        <w:t>tanaman</w:t>
      </w:r>
      <w:proofErr w:type="spellEnd"/>
      <w:r w:rsidR="00FE7A42">
        <w:rPr>
          <w:rFonts w:ascii="Cambria" w:hAnsi="Cambria" w:cs="Times New Roman"/>
        </w:rPr>
        <w:t xml:space="preserve"> </w:t>
      </w:r>
      <w:proofErr w:type="spellStart"/>
      <w:r w:rsidR="00812CA1" w:rsidRPr="00812CA1">
        <w:rPr>
          <w:rFonts w:ascii="Cambria" w:hAnsi="Cambria" w:cs="Times New Roman"/>
        </w:rPr>
        <w:t>seperti</w:t>
      </w:r>
      <w:proofErr w:type="spellEnd"/>
      <w:r w:rsidR="00812CA1" w:rsidRPr="00812CA1">
        <w:rPr>
          <w:rFonts w:ascii="Cambria" w:hAnsi="Cambria" w:cs="Times New Roman"/>
        </w:rPr>
        <w:t xml:space="preserve"> thymoquinone, quercetin, caffeic acid, </w:t>
      </w:r>
      <w:proofErr w:type="spellStart"/>
      <w:r w:rsidR="00812CA1" w:rsidRPr="00812CA1">
        <w:rPr>
          <w:rFonts w:ascii="Cambria" w:hAnsi="Cambria" w:cs="Times New Roman"/>
        </w:rPr>
        <w:t>ursolic</w:t>
      </w:r>
      <w:proofErr w:type="spellEnd"/>
      <w:r w:rsidR="00812CA1" w:rsidRPr="00812CA1">
        <w:rPr>
          <w:rFonts w:ascii="Cambria" w:hAnsi="Cambria" w:cs="Times New Roman"/>
        </w:rPr>
        <w:t xml:space="preserve"> acid, ellagic acid, vanillin, thymol, dan </w:t>
      </w:r>
      <w:proofErr w:type="spellStart"/>
      <w:r w:rsidR="00812CA1" w:rsidRPr="00812CA1">
        <w:rPr>
          <w:rFonts w:ascii="Cambria" w:hAnsi="Cambria" w:cs="Times New Roman"/>
        </w:rPr>
        <w:t>rosmarinic</w:t>
      </w:r>
      <w:proofErr w:type="spellEnd"/>
      <w:r w:rsidR="00812CA1" w:rsidRPr="00812CA1">
        <w:rPr>
          <w:rFonts w:ascii="Cambria" w:hAnsi="Cambria" w:cs="Times New Roman"/>
        </w:rPr>
        <w:t xml:space="preserve"> acid </w:t>
      </w:r>
      <w:proofErr w:type="spellStart"/>
      <w:r w:rsidR="00812CA1" w:rsidRPr="00812CA1">
        <w:rPr>
          <w:rFonts w:ascii="Cambria" w:hAnsi="Cambria" w:cs="Times New Roman"/>
        </w:rPr>
        <w:t>dapat</w:t>
      </w:r>
      <w:proofErr w:type="spellEnd"/>
      <w:r w:rsidR="00812CA1" w:rsidRPr="00812CA1">
        <w:rPr>
          <w:rFonts w:ascii="Cambria" w:hAnsi="Cambria" w:cs="Times New Roman"/>
        </w:rPr>
        <w:t xml:space="preserve"> </w:t>
      </w:r>
      <w:proofErr w:type="spellStart"/>
      <w:r w:rsidR="00812CA1" w:rsidRPr="00812CA1">
        <w:rPr>
          <w:rFonts w:ascii="Cambria" w:hAnsi="Cambria" w:cs="Times New Roman"/>
        </w:rPr>
        <w:t>meningkatkan</w:t>
      </w:r>
      <w:proofErr w:type="spellEnd"/>
      <w:r w:rsidR="00812CA1" w:rsidRPr="00812CA1">
        <w:rPr>
          <w:rFonts w:ascii="Cambria" w:hAnsi="Cambria" w:cs="Times New Roman"/>
        </w:rPr>
        <w:t xml:space="preserve"> </w:t>
      </w:r>
      <w:proofErr w:type="spellStart"/>
      <w:r w:rsidR="00812CA1" w:rsidRPr="00812CA1">
        <w:rPr>
          <w:rFonts w:ascii="Cambria" w:hAnsi="Cambria" w:cs="Times New Roman"/>
        </w:rPr>
        <w:t>respon</w:t>
      </w:r>
      <w:proofErr w:type="spellEnd"/>
      <w:r w:rsidR="00812CA1" w:rsidRPr="00812CA1">
        <w:rPr>
          <w:rFonts w:ascii="Cambria" w:hAnsi="Cambria" w:cs="Times New Roman"/>
        </w:rPr>
        <w:t xml:space="preserve"> </w:t>
      </w:r>
      <w:proofErr w:type="spellStart"/>
      <w:r w:rsidR="00812CA1" w:rsidRPr="00812CA1">
        <w:rPr>
          <w:rFonts w:ascii="Cambria" w:hAnsi="Cambria" w:cs="Times New Roman"/>
        </w:rPr>
        <w:t>imun</w:t>
      </w:r>
      <w:proofErr w:type="spellEnd"/>
      <w:r w:rsidR="00812CA1" w:rsidRPr="00812CA1">
        <w:rPr>
          <w:rFonts w:ascii="Cambria" w:hAnsi="Cambria" w:cs="Times New Roman"/>
        </w:rPr>
        <w:t xml:space="preserve"> </w:t>
      </w:r>
      <w:proofErr w:type="spellStart"/>
      <w:r w:rsidR="00812CA1" w:rsidRPr="00812CA1">
        <w:rPr>
          <w:rFonts w:ascii="Cambria" w:hAnsi="Cambria" w:cs="Times New Roman"/>
        </w:rPr>
        <w:t>sehingga</w:t>
      </w:r>
      <w:proofErr w:type="spellEnd"/>
      <w:r w:rsidR="00812CA1" w:rsidRPr="00812CA1">
        <w:rPr>
          <w:rFonts w:ascii="Cambria" w:hAnsi="Cambria" w:cs="Times New Roman"/>
        </w:rPr>
        <w:t xml:space="preserve"> </w:t>
      </w:r>
      <w:proofErr w:type="spellStart"/>
      <w:r w:rsidR="00812CA1" w:rsidRPr="00812CA1">
        <w:rPr>
          <w:rFonts w:ascii="Cambria" w:hAnsi="Cambria" w:cs="Times New Roman"/>
        </w:rPr>
        <w:t>memiliki</w:t>
      </w:r>
      <w:proofErr w:type="spellEnd"/>
      <w:r w:rsidR="00812CA1" w:rsidRPr="00812CA1">
        <w:rPr>
          <w:rFonts w:ascii="Cambria" w:hAnsi="Cambria" w:cs="Times New Roman"/>
        </w:rPr>
        <w:t xml:space="preserve"> </w:t>
      </w:r>
      <w:proofErr w:type="spellStart"/>
      <w:r w:rsidR="00812CA1" w:rsidRPr="00812CA1">
        <w:rPr>
          <w:rFonts w:ascii="Cambria" w:hAnsi="Cambria" w:cs="Times New Roman"/>
        </w:rPr>
        <w:t>potensi</w:t>
      </w:r>
      <w:proofErr w:type="spellEnd"/>
      <w:r w:rsidR="00812CA1" w:rsidRPr="00812CA1">
        <w:rPr>
          <w:rFonts w:ascii="Cambria" w:hAnsi="Cambria" w:cs="Times New Roman"/>
        </w:rPr>
        <w:t xml:space="preserve"> </w:t>
      </w:r>
      <w:proofErr w:type="spellStart"/>
      <w:r w:rsidR="00812CA1" w:rsidRPr="00812CA1">
        <w:rPr>
          <w:rFonts w:ascii="Cambria" w:hAnsi="Cambria" w:cs="Times New Roman"/>
        </w:rPr>
        <w:t>terapeutik</w:t>
      </w:r>
      <w:proofErr w:type="spellEnd"/>
      <w:r w:rsidR="00812CA1" w:rsidRPr="00812CA1">
        <w:rPr>
          <w:rFonts w:ascii="Cambria" w:hAnsi="Cambria" w:cs="Times New Roman"/>
        </w:rPr>
        <w:t xml:space="preserve"> yang sangat </w:t>
      </w:r>
      <w:proofErr w:type="spellStart"/>
      <w:r w:rsidR="00812CA1" w:rsidRPr="00812CA1">
        <w:rPr>
          <w:rFonts w:ascii="Cambria" w:hAnsi="Cambria" w:cs="Times New Roman"/>
        </w:rPr>
        <w:t>baik</w:t>
      </w:r>
      <w:proofErr w:type="spellEnd"/>
      <w:r w:rsidR="00812CA1" w:rsidRPr="00812CA1">
        <w:rPr>
          <w:rFonts w:ascii="Cambria" w:hAnsi="Cambria" w:cs="Times New Roman"/>
        </w:rPr>
        <w:t>.</w:t>
      </w:r>
      <w:r w:rsidR="00812CA1">
        <w:rPr>
          <w:rFonts w:ascii="Cambria" w:hAnsi="Cambria" w:cs="Times New Roman"/>
        </w:rPr>
        <w:t xml:space="preserve"> </w:t>
      </w:r>
      <w:r w:rsidRPr="00BE0D55">
        <w:rPr>
          <w:rFonts w:ascii="Cambria" w:hAnsi="Cambria" w:cs="Times New Roman"/>
        </w:rPr>
        <w:t xml:space="preserve">Salah </w:t>
      </w:r>
      <w:proofErr w:type="spellStart"/>
      <w:r w:rsidRPr="00BE0D55">
        <w:rPr>
          <w:rFonts w:ascii="Cambria" w:hAnsi="Cambria" w:cs="Times New Roman"/>
        </w:rPr>
        <w:t>satu</w:t>
      </w:r>
      <w:proofErr w:type="spellEnd"/>
      <w:r w:rsidRPr="00BE0D55">
        <w:rPr>
          <w:rFonts w:ascii="Cambria" w:hAnsi="Cambria" w:cs="Times New Roman"/>
        </w:rPr>
        <w:t xml:space="preserve"> </w:t>
      </w:r>
      <w:proofErr w:type="spellStart"/>
      <w:r w:rsidR="00B01494">
        <w:rPr>
          <w:rFonts w:ascii="Cambria" w:hAnsi="Cambria" w:cs="Times New Roman"/>
        </w:rPr>
        <w:t>sumber</w:t>
      </w:r>
      <w:proofErr w:type="spellEnd"/>
      <w:r w:rsidR="00B01494">
        <w:rPr>
          <w:rFonts w:ascii="Cambria" w:hAnsi="Cambria" w:cs="Times New Roman"/>
        </w:rPr>
        <w:t xml:space="preserve"> </w:t>
      </w:r>
      <w:proofErr w:type="spellStart"/>
      <w:r w:rsidR="00B01494">
        <w:rPr>
          <w:rFonts w:ascii="Cambria" w:hAnsi="Cambria" w:cs="Times New Roman"/>
        </w:rPr>
        <w:t>polifenol</w:t>
      </w:r>
      <w:proofErr w:type="spellEnd"/>
      <w:r w:rsidR="00B01494">
        <w:rPr>
          <w:rFonts w:ascii="Cambria" w:hAnsi="Cambria" w:cs="Times New Roman"/>
        </w:rPr>
        <w:t xml:space="preserve"> </w:t>
      </w:r>
      <w:proofErr w:type="spellStart"/>
      <w:r w:rsidR="00B01494">
        <w:rPr>
          <w:rFonts w:ascii="Cambria" w:hAnsi="Cambria" w:cs="Times New Roman"/>
        </w:rPr>
        <w:t>dari</w:t>
      </w:r>
      <w:proofErr w:type="spellEnd"/>
      <w:r w:rsidR="00B01494">
        <w:rPr>
          <w:rFonts w:ascii="Cambria" w:hAnsi="Cambria" w:cs="Times New Roman"/>
        </w:rPr>
        <w:t xml:space="preserve"> </w:t>
      </w:r>
      <w:proofErr w:type="spellStart"/>
      <w:r w:rsidR="00812CA1">
        <w:rPr>
          <w:rFonts w:ascii="Cambria" w:hAnsi="Cambria" w:cs="Times New Roman"/>
        </w:rPr>
        <w:t>bahan</w:t>
      </w:r>
      <w:proofErr w:type="spellEnd"/>
      <w:r w:rsidR="00812CA1">
        <w:rPr>
          <w:rFonts w:ascii="Cambria" w:hAnsi="Cambria" w:cs="Times New Roman"/>
        </w:rPr>
        <w:t xml:space="preserve"> </w:t>
      </w:r>
      <w:proofErr w:type="spellStart"/>
      <w:proofErr w:type="gramStart"/>
      <w:r w:rsidR="00812CA1">
        <w:rPr>
          <w:rFonts w:ascii="Cambria" w:hAnsi="Cambria" w:cs="Times New Roman"/>
        </w:rPr>
        <w:t>alam</w:t>
      </w:r>
      <w:proofErr w:type="spellEnd"/>
      <w:r w:rsidR="00812CA1">
        <w:rPr>
          <w:rFonts w:ascii="Cambria" w:hAnsi="Cambria" w:cs="Times New Roman"/>
        </w:rPr>
        <w:t xml:space="preserve"> </w:t>
      </w:r>
      <w:r w:rsidRPr="00BE0D55">
        <w:rPr>
          <w:rFonts w:ascii="Cambria" w:hAnsi="Cambria" w:cs="Times New Roman"/>
        </w:rPr>
        <w:t xml:space="preserve"> yang</w:t>
      </w:r>
      <w:proofErr w:type="gramEnd"/>
      <w:r w:rsidRPr="00BE0D55">
        <w:rPr>
          <w:rFonts w:ascii="Cambria" w:hAnsi="Cambria" w:cs="Times New Roman"/>
        </w:rPr>
        <w:t xml:space="preserve"> </w:t>
      </w:r>
      <w:proofErr w:type="spellStart"/>
      <w:r w:rsidRPr="00BE0D55">
        <w:rPr>
          <w:rFonts w:ascii="Cambria" w:hAnsi="Cambria" w:cs="Times New Roman"/>
        </w:rPr>
        <w:t>menjadi</w:t>
      </w:r>
      <w:proofErr w:type="spellEnd"/>
      <w:r w:rsidRPr="00BE0D55">
        <w:rPr>
          <w:rFonts w:ascii="Cambria" w:hAnsi="Cambria" w:cs="Times New Roman"/>
        </w:rPr>
        <w:t xml:space="preserve"> </w:t>
      </w:r>
      <w:proofErr w:type="spellStart"/>
      <w:r w:rsidRPr="00BE0D55">
        <w:rPr>
          <w:rFonts w:ascii="Cambria" w:hAnsi="Cambria" w:cs="Times New Roman"/>
        </w:rPr>
        <w:t>ciri</w:t>
      </w:r>
      <w:proofErr w:type="spellEnd"/>
      <w:r w:rsidRPr="00BE0D55">
        <w:rPr>
          <w:rFonts w:ascii="Cambria" w:hAnsi="Cambria" w:cs="Times New Roman"/>
        </w:rPr>
        <w:t xml:space="preserve"> </w:t>
      </w:r>
      <w:proofErr w:type="spellStart"/>
      <w:r w:rsidRPr="00BE0D55">
        <w:rPr>
          <w:rFonts w:ascii="Cambria" w:hAnsi="Cambria" w:cs="Times New Roman"/>
        </w:rPr>
        <w:t>khas</w:t>
      </w:r>
      <w:proofErr w:type="spellEnd"/>
      <w:r w:rsidRPr="00BE0D55">
        <w:rPr>
          <w:rFonts w:ascii="Cambria" w:hAnsi="Cambria" w:cs="Times New Roman"/>
        </w:rPr>
        <w:t xml:space="preserve"> Indonesia </w:t>
      </w:r>
      <w:proofErr w:type="spellStart"/>
      <w:r w:rsidRPr="00BE0D55">
        <w:rPr>
          <w:rFonts w:ascii="Cambria" w:hAnsi="Cambria" w:cs="Times New Roman"/>
        </w:rPr>
        <w:t>adalah</w:t>
      </w:r>
      <w:proofErr w:type="spellEnd"/>
      <w:r w:rsidRPr="00BE0D55">
        <w:rPr>
          <w:rFonts w:ascii="Cambria" w:hAnsi="Cambria" w:cs="Times New Roman"/>
        </w:rPr>
        <w:t xml:space="preserve"> </w:t>
      </w:r>
      <w:proofErr w:type="spellStart"/>
      <w:r w:rsidRPr="00BE0D55">
        <w:rPr>
          <w:rFonts w:ascii="Cambria" w:hAnsi="Cambria" w:cs="Times New Roman"/>
        </w:rPr>
        <w:t>jamu</w:t>
      </w:r>
      <w:proofErr w:type="spellEnd"/>
      <w:r w:rsidRPr="00BE0D55">
        <w:rPr>
          <w:rFonts w:ascii="Cambria" w:hAnsi="Cambria" w:cs="Times New Roman"/>
        </w:rPr>
        <w:t xml:space="preserve">. </w:t>
      </w:r>
      <w:proofErr w:type="spellStart"/>
      <w:r w:rsidRPr="00BE0D55">
        <w:rPr>
          <w:rFonts w:ascii="Cambria" w:hAnsi="Cambria" w:cs="Times New Roman"/>
        </w:rPr>
        <w:t>Secara</w:t>
      </w:r>
      <w:proofErr w:type="spellEnd"/>
      <w:r w:rsidRPr="00BE0D55">
        <w:rPr>
          <w:rFonts w:ascii="Cambria" w:hAnsi="Cambria" w:cs="Times New Roman"/>
        </w:rPr>
        <w:t xml:space="preserve"> </w:t>
      </w:r>
      <w:proofErr w:type="spellStart"/>
      <w:r w:rsidRPr="00BE0D55">
        <w:rPr>
          <w:rFonts w:ascii="Cambria" w:hAnsi="Cambria" w:cs="Times New Roman"/>
        </w:rPr>
        <w:t>umum</w:t>
      </w:r>
      <w:proofErr w:type="spellEnd"/>
      <w:r w:rsidRPr="00BE0D55">
        <w:rPr>
          <w:rFonts w:ascii="Cambria" w:hAnsi="Cambria" w:cs="Times New Roman"/>
        </w:rPr>
        <w:t xml:space="preserve"> </w:t>
      </w:r>
      <w:proofErr w:type="spellStart"/>
      <w:r w:rsidRPr="00BE0D55">
        <w:rPr>
          <w:rFonts w:ascii="Cambria" w:hAnsi="Cambria" w:cs="Times New Roman"/>
        </w:rPr>
        <w:t>jamu</w:t>
      </w:r>
      <w:proofErr w:type="spellEnd"/>
      <w:r w:rsidRPr="00BE0D55">
        <w:rPr>
          <w:rFonts w:ascii="Cambria" w:hAnsi="Cambria" w:cs="Times New Roman"/>
        </w:rPr>
        <w:t xml:space="preserve"> </w:t>
      </w:r>
      <w:proofErr w:type="spellStart"/>
      <w:r w:rsidRPr="00BE0D55">
        <w:rPr>
          <w:rFonts w:ascii="Cambria" w:hAnsi="Cambria" w:cs="Times New Roman"/>
        </w:rPr>
        <w:t>diproduksi</w:t>
      </w:r>
      <w:proofErr w:type="spellEnd"/>
      <w:r w:rsidRPr="00BE0D55">
        <w:rPr>
          <w:rFonts w:ascii="Cambria" w:hAnsi="Cambria" w:cs="Times New Roman"/>
        </w:rPr>
        <w:t xml:space="preserve"> </w:t>
      </w:r>
      <w:proofErr w:type="spellStart"/>
      <w:r w:rsidRPr="00BE0D55">
        <w:rPr>
          <w:rFonts w:ascii="Cambria" w:hAnsi="Cambria" w:cs="Times New Roman"/>
        </w:rPr>
        <w:t>dari</w:t>
      </w:r>
      <w:proofErr w:type="spellEnd"/>
      <w:r w:rsidRPr="00BE0D55">
        <w:rPr>
          <w:rFonts w:ascii="Cambria" w:hAnsi="Cambria" w:cs="Times New Roman"/>
        </w:rPr>
        <w:t xml:space="preserve"> </w:t>
      </w:r>
      <w:proofErr w:type="spellStart"/>
      <w:r w:rsidRPr="00BE0D55">
        <w:rPr>
          <w:rFonts w:ascii="Cambria" w:hAnsi="Cambria" w:cs="Times New Roman"/>
        </w:rPr>
        <w:t>ekstrak</w:t>
      </w:r>
      <w:proofErr w:type="spellEnd"/>
      <w:r w:rsidRPr="00BE0D55">
        <w:rPr>
          <w:rFonts w:ascii="Cambria" w:hAnsi="Cambria" w:cs="Times New Roman"/>
        </w:rPr>
        <w:t xml:space="preserve"> </w:t>
      </w:r>
      <w:proofErr w:type="spellStart"/>
      <w:r w:rsidRPr="00BE0D55">
        <w:rPr>
          <w:rFonts w:ascii="Cambria" w:hAnsi="Cambria" w:cs="Times New Roman"/>
        </w:rPr>
        <w:t>tanaman</w:t>
      </w:r>
      <w:proofErr w:type="spellEnd"/>
      <w:r w:rsidRPr="00BE0D55">
        <w:rPr>
          <w:rFonts w:ascii="Cambria" w:hAnsi="Cambria" w:cs="Times New Roman"/>
        </w:rPr>
        <w:t xml:space="preserve"> </w:t>
      </w:r>
      <w:proofErr w:type="spellStart"/>
      <w:r w:rsidRPr="00BE0D55">
        <w:rPr>
          <w:rFonts w:ascii="Cambria" w:hAnsi="Cambria" w:cs="Times New Roman"/>
        </w:rPr>
        <w:t>atau</w:t>
      </w:r>
      <w:proofErr w:type="spellEnd"/>
      <w:r w:rsidRPr="00BE0D55">
        <w:rPr>
          <w:rFonts w:ascii="Cambria" w:hAnsi="Cambria" w:cs="Times New Roman"/>
        </w:rPr>
        <w:t xml:space="preserve"> </w:t>
      </w:r>
      <w:proofErr w:type="spellStart"/>
      <w:r w:rsidRPr="00BE0D55">
        <w:rPr>
          <w:rFonts w:ascii="Cambria" w:hAnsi="Cambria" w:cs="Times New Roman"/>
        </w:rPr>
        <w:t>simplisia</w:t>
      </w:r>
      <w:proofErr w:type="spellEnd"/>
      <w:r w:rsidRPr="00BE0D55">
        <w:rPr>
          <w:rFonts w:ascii="Cambria" w:hAnsi="Cambria" w:cs="Times New Roman"/>
        </w:rPr>
        <w:t xml:space="preserve"> </w:t>
      </w:r>
      <w:proofErr w:type="spellStart"/>
      <w:r w:rsidRPr="00BE0D55">
        <w:rPr>
          <w:rFonts w:ascii="Cambria" w:hAnsi="Cambria" w:cs="Times New Roman"/>
        </w:rPr>
        <w:t>tanaman</w:t>
      </w:r>
      <w:proofErr w:type="spellEnd"/>
      <w:r w:rsidRPr="00BE0D55">
        <w:rPr>
          <w:rFonts w:ascii="Cambria" w:hAnsi="Cambria" w:cs="Times New Roman"/>
        </w:rPr>
        <w:t xml:space="preserve"> </w:t>
      </w:r>
      <w:proofErr w:type="spellStart"/>
      <w:r w:rsidRPr="00BE0D55">
        <w:rPr>
          <w:rFonts w:ascii="Cambria" w:hAnsi="Cambria" w:cs="Times New Roman"/>
        </w:rPr>
        <w:t>rimpang</w:t>
      </w:r>
      <w:proofErr w:type="spellEnd"/>
      <w:r w:rsidRPr="00BE0D55">
        <w:rPr>
          <w:rFonts w:ascii="Cambria" w:hAnsi="Cambria" w:cs="Times New Roman"/>
        </w:rPr>
        <w:t xml:space="preserve">. </w:t>
      </w:r>
      <w:proofErr w:type="spellStart"/>
      <w:r w:rsidRPr="00BE0D55">
        <w:rPr>
          <w:rFonts w:ascii="Cambria" w:hAnsi="Cambria" w:cs="Times New Roman"/>
        </w:rPr>
        <w:t>Wabah</w:t>
      </w:r>
      <w:proofErr w:type="spellEnd"/>
      <w:r w:rsidRPr="00BE0D55">
        <w:rPr>
          <w:rFonts w:ascii="Cambria" w:hAnsi="Cambria" w:cs="Times New Roman"/>
        </w:rPr>
        <w:t xml:space="preserve"> covid-19 </w:t>
      </w:r>
      <w:proofErr w:type="spellStart"/>
      <w:r w:rsidRPr="00BE0D55">
        <w:rPr>
          <w:rFonts w:ascii="Cambria" w:hAnsi="Cambria" w:cs="Times New Roman"/>
        </w:rPr>
        <w:t>meningkatkan</w:t>
      </w:r>
      <w:proofErr w:type="spellEnd"/>
      <w:r w:rsidRPr="00BE0D55">
        <w:rPr>
          <w:rFonts w:ascii="Cambria" w:hAnsi="Cambria" w:cs="Times New Roman"/>
        </w:rPr>
        <w:t xml:space="preserve"> </w:t>
      </w:r>
      <w:proofErr w:type="spellStart"/>
      <w:r w:rsidRPr="00BE0D55">
        <w:rPr>
          <w:rFonts w:ascii="Cambria" w:hAnsi="Cambria" w:cs="Times New Roman"/>
        </w:rPr>
        <w:t>animo</w:t>
      </w:r>
      <w:proofErr w:type="spellEnd"/>
      <w:r w:rsidRPr="00BE0D55">
        <w:rPr>
          <w:rFonts w:ascii="Cambria" w:hAnsi="Cambria" w:cs="Times New Roman"/>
        </w:rPr>
        <w:t xml:space="preserve"> </w:t>
      </w:r>
      <w:proofErr w:type="spellStart"/>
      <w:r w:rsidRPr="00BE0D55">
        <w:rPr>
          <w:rFonts w:ascii="Cambria" w:hAnsi="Cambria" w:cs="Times New Roman"/>
        </w:rPr>
        <w:t>masyarakat</w:t>
      </w:r>
      <w:proofErr w:type="spellEnd"/>
      <w:r w:rsidRPr="00BE0D55">
        <w:rPr>
          <w:rFonts w:ascii="Cambria" w:hAnsi="Cambria" w:cs="Times New Roman"/>
        </w:rPr>
        <w:t xml:space="preserve"> </w:t>
      </w:r>
      <w:proofErr w:type="spellStart"/>
      <w:r w:rsidRPr="00BE0D55">
        <w:rPr>
          <w:rFonts w:ascii="Cambria" w:hAnsi="Cambria" w:cs="Times New Roman"/>
        </w:rPr>
        <w:t>untuk</w:t>
      </w:r>
      <w:proofErr w:type="spellEnd"/>
      <w:r w:rsidRPr="00BE0D55">
        <w:rPr>
          <w:rFonts w:ascii="Cambria" w:hAnsi="Cambria" w:cs="Times New Roman"/>
        </w:rPr>
        <w:t xml:space="preserve"> </w:t>
      </w:r>
      <w:proofErr w:type="spellStart"/>
      <w:r w:rsidRPr="00BE0D55">
        <w:rPr>
          <w:rFonts w:ascii="Cambria" w:hAnsi="Cambria" w:cs="Times New Roman"/>
        </w:rPr>
        <w:t>mengonsumsi</w:t>
      </w:r>
      <w:proofErr w:type="spellEnd"/>
      <w:r w:rsidRPr="00BE0D55">
        <w:rPr>
          <w:rFonts w:ascii="Cambria" w:hAnsi="Cambria" w:cs="Times New Roman"/>
        </w:rPr>
        <w:t xml:space="preserve"> </w:t>
      </w:r>
      <w:proofErr w:type="spellStart"/>
      <w:r w:rsidRPr="00BE0D55">
        <w:rPr>
          <w:rFonts w:ascii="Cambria" w:hAnsi="Cambria" w:cs="Times New Roman"/>
        </w:rPr>
        <w:t>jamu</w:t>
      </w:r>
      <w:proofErr w:type="spellEnd"/>
      <w:r w:rsidRPr="00BE0D55">
        <w:rPr>
          <w:rFonts w:ascii="Cambria" w:hAnsi="Cambria" w:cs="Times New Roman"/>
        </w:rPr>
        <w:t xml:space="preserve">. </w:t>
      </w:r>
      <w:r w:rsidR="002D4613">
        <w:rPr>
          <w:rFonts w:ascii="Cambria" w:hAnsi="Cambria" w:cs="Times New Roman"/>
        </w:rPr>
        <w:fldChar w:fldCharType="begin" w:fldLock="1"/>
      </w:r>
      <w:r w:rsidR="002D4613">
        <w:rPr>
          <w:rFonts w:ascii="Cambria" w:hAnsi="Cambria" w:cs="Times New Roman"/>
        </w:rPr>
        <w:instrText>ADDIN CSL_CITATION {"citationItems":[{"id":"ITEM-1","itemData":{"DOI":"10.20473/jlm.v4i2.2020.465-471","ISSN":"2580-8680","abstract":"In the midst of a health crisis due to the COVID-19 pandemic that has not ended yet, traditional medicine is one of the alternative that can be used to break the chain of transmission and to maintain immunity. Jamu is a traditional herbal medicine that has been practiced for centuries in Indonesia to maintain our health. Jamu can be used for maintaining immunity to avoid virus from our body. Especially at this time, where a cure for a disease has not been found yet, people will return to use plants as an alternative treatment with various benefits. Plants that can be consumed and made into herbs for immune booster is curcuma, turmeric, and ginger. This project is educating people to understand the benefits of jamu and by sharing the tutorial video about steps to make jamu, hopefully people can try it at home to avoiding the spread of this virus.abstrakDitengah krisis kesehatan akibat adanya pandemi COVID-19 yang belum juga usai, pengobatan tradisional menjadi salah satu alternatif yang dapat digunakan masyarakat untuk memutus rantai penularan serta menjaga imunitas tubuh. Jamu merupakan obat herbal tradisional yang telah dipraktekkan selama berabad-abad di masyarakat Indonesia untuk menjaga kesehatan. Jamu dapat berfungsi untuk menjaga imunitas tubuh agar terhindar dari virus yang sedang merebak. Terutama disaat saat seperti ini, dimana belum ditemukannya obat untuk suatu penyakit, masyarakat akan kembali menggunakan tumbuhan sebagai alternatif pengobatan dengan manfaatnya yang beragam. Tanaman yang dapat dikonsumsi dan dibuat menjadi jamu untuk immune booster antara lain adalah temulawak, kunyit, dan jahe. Penyuluhan ini dilakukan agar  masyarakat umum lebih memahami manfaat jamu dan  dengan membuat serta menyebarluaskan video tutorial pembuatan jamu diharapkan masyarakat dapat mempraktekkannya dirumah untuk mencegah penularan virus ini.","author":[{"dropping-particle":"","family":"Kusumo","given":"Adristy Ratna","non-dropping-particle":"","parse-names":false,"suffix":""},{"dropping-particle":"","family":"Wiyoga","given":"Farrel Yumna","non-dropping-particle":"","parse-names":false,"suffix":""},{"dropping-particle":"","family":"Perdana","given":"Haekal Putra","non-dropping-particle":"","parse-names":false,"suffix":""},{"dropping-particle":"","family":"Khairunnisa","given":"Izzatidiva","non-dropping-particle":"","parse-names":false,"suffix":""},{"dropping-particle":"","family":"Suhandi","given":"Raihan Ibadurrohman","non-dropping-particle":"","parse-names":false,"suffix":""},{"dropping-particle":"","family":"Prastika","given":"Shinta Sunja","non-dropping-particle":"","parse-names":false,"suffix":""}],"container-title":"Jurnal Layanan Masyarakat (Journal of Public Services)","id":"ITEM-1","issue":"2","issued":{"date-parts":[["2020"]]},"page":"465","title":"Jamu Tradisional Indonesia: Tingkatkan Imunitas Tubuh Secara Alami Selama Pandemi","type":"article-journal","volume":"4"},"uris":["http://www.mendeley.com/documents/?uuid=1684b9a9-3ce8-4d28-a45c-605a2a4012df"]}],"mendeley":{"formattedCitation":"(Kusumo et al., 2020)","plainTextFormattedCitation":"(Kusumo et al., 2020)","previouslyFormattedCitation":"(Kusumo et al., 2020)"},"properties":{"noteIndex":0},"schema":"https://github.com/citation-style-language/schema/raw/master/csl-citation.json"}</w:instrText>
      </w:r>
      <w:r w:rsidR="002D4613">
        <w:rPr>
          <w:rFonts w:ascii="Cambria" w:hAnsi="Cambria" w:cs="Times New Roman"/>
        </w:rPr>
        <w:fldChar w:fldCharType="separate"/>
      </w:r>
      <w:r w:rsidR="002D4613" w:rsidRPr="002D4613">
        <w:rPr>
          <w:rFonts w:ascii="Cambria" w:hAnsi="Cambria" w:cs="Times New Roman"/>
          <w:noProof/>
        </w:rPr>
        <w:t>(Kusumo et al., 2020)</w:t>
      </w:r>
      <w:r w:rsidR="002D4613">
        <w:rPr>
          <w:rFonts w:ascii="Cambria" w:hAnsi="Cambria" w:cs="Times New Roman"/>
        </w:rPr>
        <w:fldChar w:fldCharType="end"/>
      </w:r>
      <w:r w:rsidR="002D4613">
        <w:rPr>
          <w:rFonts w:ascii="Cambria" w:hAnsi="Cambria" w:cs="Times New Roman"/>
        </w:rPr>
        <w:t xml:space="preserve"> </w:t>
      </w:r>
      <w:proofErr w:type="spellStart"/>
      <w:r w:rsidRPr="00BE0D55">
        <w:rPr>
          <w:rFonts w:ascii="Cambria" w:hAnsi="Cambria" w:cs="Times New Roman"/>
        </w:rPr>
        <w:t>menyatakan</w:t>
      </w:r>
      <w:proofErr w:type="spellEnd"/>
      <w:r w:rsidRPr="00BE0D55">
        <w:rPr>
          <w:rFonts w:ascii="Cambria" w:hAnsi="Cambria" w:cs="Times New Roman"/>
        </w:rPr>
        <w:t xml:space="preserve"> </w:t>
      </w:r>
      <w:proofErr w:type="spellStart"/>
      <w:r w:rsidRPr="00BE0D55">
        <w:rPr>
          <w:rFonts w:ascii="Cambria" w:hAnsi="Cambria" w:cs="Times New Roman"/>
        </w:rPr>
        <w:t>bahwa</w:t>
      </w:r>
      <w:proofErr w:type="spellEnd"/>
      <w:r w:rsidRPr="00BE0D55">
        <w:rPr>
          <w:rFonts w:ascii="Cambria" w:hAnsi="Cambria" w:cs="Times New Roman"/>
        </w:rPr>
        <w:t xml:space="preserve"> </w:t>
      </w:r>
      <w:proofErr w:type="spellStart"/>
      <w:r w:rsidRPr="00BE0D55">
        <w:rPr>
          <w:rFonts w:ascii="Cambria" w:hAnsi="Cambria" w:cs="Times New Roman"/>
        </w:rPr>
        <w:t>jamu</w:t>
      </w:r>
      <w:proofErr w:type="spellEnd"/>
      <w:r w:rsidRPr="00BE0D55">
        <w:rPr>
          <w:rFonts w:ascii="Cambria" w:hAnsi="Cambria" w:cs="Times New Roman"/>
        </w:rPr>
        <w:t xml:space="preserve"> </w:t>
      </w:r>
      <w:proofErr w:type="spellStart"/>
      <w:r w:rsidRPr="00BE0D55">
        <w:rPr>
          <w:rFonts w:ascii="Cambria" w:hAnsi="Cambria" w:cs="Times New Roman"/>
        </w:rPr>
        <w:t>tradisional</w:t>
      </w:r>
      <w:proofErr w:type="spellEnd"/>
      <w:r w:rsidRPr="00BE0D55">
        <w:rPr>
          <w:rFonts w:ascii="Cambria" w:hAnsi="Cambria" w:cs="Times New Roman"/>
        </w:rPr>
        <w:t xml:space="preserve"> Indonesia </w:t>
      </w:r>
      <w:proofErr w:type="spellStart"/>
      <w:r w:rsidRPr="00BE0D55">
        <w:rPr>
          <w:rFonts w:ascii="Cambria" w:hAnsi="Cambria" w:cs="Times New Roman"/>
        </w:rPr>
        <w:t>mampu</w:t>
      </w:r>
      <w:proofErr w:type="spellEnd"/>
      <w:r w:rsidRPr="00BE0D55">
        <w:rPr>
          <w:rFonts w:ascii="Cambria" w:hAnsi="Cambria" w:cs="Times New Roman"/>
        </w:rPr>
        <w:t xml:space="preserve"> </w:t>
      </w:r>
      <w:proofErr w:type="spellStart"/>
      <w:proofErr w:type="gramStart"/>
      <w:r w:rsidRPr="00BE0D55">
        <w:rPr>
          <w:rFonts w:ascii="Cambria" w:hAnsi="Cambria" w:cs="Times New Roman"/>
        </w:rPr>
        <w:t>meningkatkan</w:t>
      </w:r>
      <w:proofErr w:type="spellEnd"/>
      <w:r w:rsidRPr="00BE0D55">
        <w:rPr>
          <w:rFonts w:ascii="Cambria" w:hAnsi="Cambria" w:cs="Times New Roman"/>
        </w:rPr>
        <w:t xml:space="preserve">  </w:t>
      </w:r>
      <w:proofErr w:type="spellStart"/>
      <w:r w:rsidRPr="00BE0D55">
        <w:rPr>
          <w:rFonts w:ascii="Cambria" w:hAnsi="Cambria" w:cs="Times New Roman"/>
        </w:rPr>
        <w:t>imunitas</w:t>
      </w:r>
      <w:proofErr w:type="spellEnd"/>
      <w:proofErr w:type="gramEnd"/>
      <w:r w:rsidRPr="00BE0D55">
        <w:rPr>
          <w:rFonts w:ascii="Cambria" w:hAnsi="Cambria" w:cs="Times New Roman"/>
        </w:rPr>
        <w:t xml:space="preserve"> </w:t>
      </w:r>
      <w:proofErr w:type="spellStart"/>
      <w:r w:rsidRPr="00BE0D55">
        <w:rPr>
          <w:rFonts w:ascii="Cambria" w:hAnsi="Cambria" w:cs="Times New Roman"/>
        </w:rPr>
        <w:t>tubuh</w:t>
      </w:r>
      <w:proofErr w:type="spellEnd"/>
      <w:r w:rsidRPr="00BE0D55">
        <w:rPr>
          <w:rFonts w:ascii="Cambria" w:hAnsi="Cambria" w:cs="Times New Roman"/>
        </w:rPr>
        <w:t xml:space="preserve"> </w:t>
      </w:r>
      <w:proofErr w:type="spellStart"/>
      <w:r w:rsidRPr="00BE0D55">
        <w:rPr>
          <w:rFonts w:ascii="Cambria" w:hAnsi="Cambria" w:cs="Times New Roman"/>
        </w:rPr>
        <w:t>secara</w:t>
      </w:r>
      <w:proofErr w:type="spellEnd"/>
      <w:r w:rsidRPr="00BE0D55">
        <w:rPr>
          <w:rFonts w:ascii="Cambria" w:hAnsi="Cambria" w:cs="Times New Roman"/>
        </w:rPr>
        <w:t xml:space="preserve"> </w:t>
      </w:r>
      <w:proofErr w:type="spellStart"/>
      <w:r w:rsidRPr="00BE0D55">
        <w:rPr>
          <w:rFonts w:ascii="Cambria" w:hAnsi="Cambria" w:cs="Times New Roman"/>
        </w:rPr>
        <w:t>alami</w:t>
      </w:r>
      <w:proofErr w:type="spellEnd"/>
      <w:r w:rsidRPr="00BE0D55">
        <w:rPr>
          <w:rFonts w:ascii="Cambria" w:hAnsi="Cambria" w:cs="Times New Roman"/>
        </w:rPr>
        <w:t xml:space="preserve"> </w:t>
      </w:r>
      <w:proofErr w:type="spellStart"/>
      <w:r w:rsidRPr="00BE0D55">
        <w:rPr>
          <w:rFonts w:ascii="Cambria" w:hAnsi="Cambria" w:cs="Times New Roman"/>
        </w:rPr>
        <w:t>selama</w:t>
      </w:r>
      <w:proofErr w:type="spellEnd"/>
      <w:r w:rsidRPr="00BE0D55">
        <w:rPr>
          <w:rFonts w:ascii="Cambria" w:hAnsi="Cambria" w:cs="Times New Roman"/>
        </w:rPr>
        <w:t xml:space="preserve"> </w:t>
      </w:r>
      <w:proofErr w:type="spellStart"/>
      <w:r w:rsidRPr="00BE0D55">
        <w:rPr>
          <w:rFonts w:ascii="Cambria" w:hAnsi="Cambria" w:cs="Times New Roman"/>
        </w:rPr>
        <w:t>pademi</w:t>
      </w:r>
      <w:proofErr w:type="spellEnd"/>
      <w:r w:rsidRPr="00BE0D55">
        <w:rPr>
          <w:rFonts w:ascii="Cambria" w:hAnsi="Cambria" w:cs="Times New Roman"/>
        </w:rPr>
        <w:t xml:space="preserve"> covid-19 </w:t>
      </w:r>
      <w:proofErr w:type="spellStart"/>
      <w:r w:rsidRPr="00BE0D55">
        <w:rPr>
          <w:rFonts w:ascii="Cambria" w:hAnsi="Cambria" w:cs="Times New Roman"/>
        </w:rPr>
        <w:t>karena</w:t>
      </w:r>
      <w:proofErr w:type="spellEnd"/>
      <w:r w:rsidRPr="00BE0D55">
        <w:rPr>
          <w:rFonts w:ascii="Cambria" w:hAnsi="Cambria" w:cs="Times New Roman"/>
        </w:rPr>
        <w:t xml:space="preserve"> </w:t>
      </w:r>
      <w:proofErr w:type="spellStart"/>
      <w:r w:rsidRPr="00BE0D55">
        <w:rPr>
          <w:rFonts w:ascii="Cambria" w:hAnsi="Cambria" w:cs="Times New Roman"/>
        </w:rPr>
        <w:t>jamu</w:t>
      </w:r>
      <w:proofErr w:type="spellEnd"/>
      <w:r w:rsidRPr="00BE0D55">
        <w:rPr>
          <w:rFonts w:ascii="Cambria" w:hAnsi="Cambria" w:cs="Times New Roman"/>
        </w:rPr>
        <w:t xml:space="preserve"> </w:t>
      </w:r>
      <w:proofErr w:type="spellStart"/>
      <w:r w:rsidRPr="00BE0D55">
        <w:rPr>
          <w:rFonts w:ascii="Cambria" w:hAnsi="Cambria" w:cs="Times New Roman"/>
        </w:rPr>
        <w:t>mengandung</w:t>
      </w:r>
      <w:proofErr w:type="spellEnd"/>
      <w:r w:rsidRPr="00BE0D55">
        <w:rPr>
          <w:rFonts w:ascii="Cambria" w:hAnsi="Cambria" w:cs="Times New Roman"/>
        </w:rPr>
        <w:t xml:space="preserve"> </w:t>
      </w:r>
      <w:proofErr w:type="spellStart"/>
      <w:r w:rsidRPr="00BE0D55">
        <w:rPr>
          <w:rFonts w:ascii="Cambria" w:hAnsi="Cambria" w:cs="Times New Roman"/>
        </w:rPr>
        <w:t>bioaktif</w:t>
      </w:r>
      <w:proofErr w:type="spellEnd"/>
      <w:r w:rsidRPr="00BE0D55">
        <w:rPr>
          <w:rFonts w:ascii="Cambria" w:hAnsi="Cambria" w:cs="Times New Roman"/>
        </w:rPr>
        <w:t xml:space="preserve"> yang </w:t>
      </w:r>
      <w:proofErr w:type="spellStart"/>
      <w:r w:rsidRPr="00BE0D55">
        <w:rPr>
          <w:rFonts w:ascii="Cambria" w:hAnsi="Cambria" w:cs="Times New Roman"/>
        </w:rPr>
        <w:t>berperan</w:t>
      </w:r>
      <w:proofErr w:type="spellEnd"/>
      <w:r w:rsidRPr="00BE0D55">
        <w:rPr>
          <w:rFonts w:ascii="Cambria" w:hAnsi="Cambria" w:cs="Times New Roman"/>
        </w:rPr>
        <w:t xml:space="preserve"> </w:t>
      </w:r>
      <w:proofErr w:type="spellStart"/>
      <w:r w:rsidRPr="00BE0D55">
        <w:rPr>
          <w:rFonts w:ascii="Cambria" w:hAnsi="Cambria" w:cs="Times New Roman"/>
        </w:rPr>
        <w:t>sebagai</w:t>
      </w:r>
      <w:proofErr w:type="spellEnd"/>
      <w:r w:rsidRPr="00BE0D55">
        <w:rPr>
          <w:rFonts w:ascii="Cambria" w:hAnsi="Cambria" w:cs="Times New Roman"/>
        </w:rPr>
        <w:t xml:space="preserve"> </w:t>
      </w:r>
      <w:proofErr w:type="spellStart"/>
      <w:r w:rsidRPr="00BE0D55">
        <w:rPr>
          <w:rFonts w:ascii="Cambria" w:hAnsi="Cambria" w:cs="Times New Roman"/>
        </w:rPr>
        <w:t>antioksidan</w:t>
      </w:r>
      <w:proofErr w:type="spellEnd"/>
      <w:r w:rsidRPr="00BE0D55">
        <w:rPr>
          <w:rFonts w:ascii="Cambria" w:hAnsi="Cambria" w:cs="Times New Roman"/>
        </w:rPr>
        <w:t xml:space="preserve">, </w:t>
      </w:r>
      <w:proofErr w:type="spellStart"/>
      <w:r w:rsidRPr="00BE0D55">
        <w:rPr>
          <w:rFonts w:ascii="Cambria" w:hAnsi="Cambria" w:cs="Times New Roman"/>
        </w:rPr>
        <w:t>antiinflamasi</w:t>
      </w:r>
      <w:proofErr w:type="spellEnd"/>
      <w:r w:rsidRPr="00BE0D55">
        <w:rPr>
          <w:rFonts w:ascii="Cambria" w:hAnsi="Cambria" w:cs="Times New Roman"/>
        </w:rPr>
        <w:t xml:space="preserve">, </w:t>
      </w:r>
      <w:proofErr w:type="spellStart"/>
      <w:r w:rsidRPr="00BE0D55">
        <w:rPr>
          <w:rFonts w:ascii="Cambria" w:hAnsi="Cambria" w:cs="Times New Roman"/>
        </w:rPr>
        <w:t>antibakteri</w:t>
      </w:r>
      <w:proofErr w:type="spellEnd"/>
      <w:r w:rsidRPr="00BE0D55">
        <w:rPr>
          <w:rFonts w:ascii="Cambria" w:hAnsi="Cambria" w:cs="Times New Roman"/>
        </w:rPr>
        <w:t xml:space="preserve">, dan antivirus. </w:t>
      </w:r>
      <w:proofErr w:type="spellStart"/>
      <w:r w:rsidRPr="00BE0D55">
        <w:rPr>
          <w:rFonts w:ascii="Cambria" w:hAnsi="Cambria" w:cs="Times New Roman"/>
        </w:rPr>
        <w:t>Namun</w:t>
      </w:r>
      <w:proofErr w:type="spellEnd"/>
      <w:r w:rsidRPr="00BE0D55">
        <w:rPr>
          <w:rFonts w:ascii="Cambria" w:hAnsi="Cambria" w:cs="Times New Roman"/>
        </w:rPr>
        <w:t xml:space="preserve"> </w:t>
      </w:r>
      <w:proofErr w:type="spellStart"/>
      <w:r w:rsidRPr="00BE0D55">
        <w:rPr>
          <w:rFonts w:ascii="Cambria" w:hAnsi="Cambria" w:cs="Times New Roman"/>
        </w:rPr>
        <w:t>masih</w:t>
      </w:r>
      <w:proofErr w:type="spellEnd"/>
      <w:r w:rsidRPr="00BE0D55">
        <w:rPr>
          <w:rFonts w:ascii="Cambria" w:hAnsi="Cambria" w:cs="Times New Roman"/>
        </w:rPr>
        <w:t xml:space="preserve"> </w:t>
      </w:r>
      <w:proofErr w:type="spellStart"/>
      <w:r w:rsidRPr="00BE0D55">
        <w:rPr>
          <w:rFonts w:ascii="Cambria" w:hAnsi="Cambria" w:cs="Times New Roman"/>
        </w:rPr>
        <w:t>banyak</w:t>
      </w:r>
      <w:proofErr w:type="spellEnd"/>
      <w:r w:rsidRPr="00BE0D55">
        <w:rPr>
          <w:rFonts w:ascii="Cambria" w:hAnsi="Cambria" w:cs="Times New Roman"/>
        </w:rPr>
        <w:t xml:space="preserve"> </w:t>
      </w:r>
      <w:proofErr w:type="spellStart"/>
      <w:r w:rsidRPr="00BE0D55">
        <w:rPr>
          <w:rFonts w:ascii="Cambria" w:hAnsi="Cambria" w:cs="Times New Roman"/>
        </w:rPr>
        <w:t>masyarakat</w:t>
      </w:r>
      <w:proofErr w:type="spellEnd"/>
      <w:r w:rsidRPr="00BE0D55">
        <w:rPr>
          <w:rFonts w:ascii="Cambria" w:hAnsi="Cambria" w:cs="Times New Roman"/>
        </w:rPr>
        <w:t xml:space="preserve"> Indonesia </w:t>
      </w:r>
      <w:proofErr w:type="spellStart"/>
      <w:r w:rsidRPr="00BE0D55">
        <w:rPr>
          <w:rFonts w:ascii="Cambria" w:hAnsi="Cambria" w:cs="Times New Roman"/>
        </w:rPr>
        <w:t>terutama</w:t>
      </w:r>
      <w:proofErr w:type="spellEnd"/>
      <w:r w:rsidRPr="00BE0D55">
        <w:rPr>
          <w:rFonts w:ascii="Cambria" w:hAnsi="Cambria" w:cs="Times New Roman"/>
        </w:rPr>
        <w:t xml:space="preserve"> </w:t>
      </w:r>
      <w:proofErr w:type="spellStart"/>
      <w:r w:rsidRPr="00BE0D55">
        <w:rPr>
          <w:rFonts w:ascii="Cambria" w:hAnsi="Cambria" w:cs="Times New Roman"/>
        </w:rPr>
        <w:t>masyarakat</w:t>
      </w:r>
      <w:proofErr w:type="spellEnd"/>
      <w:r w:rsidRPr="00BE0D55">
        <w:rPr>
          <w:rFonts w:ascii="Cambria" w:hAnsi="Cambria" w:cs="Times New Roman"/>
        </w:rPr>
        <w:t xml:space="preserve"> </w:t>
      </w:r>
      <w:proofErr w:type="spellStart"/>
      <w:r w:rsidRPr="00BE0D55">
        <w:rPr>
          <w:rFonts w:ascii="Cambria" w:hAnsi="Cambria" w:cs="Times New Roman"/>
        </w:rPr>
        <w:t>diluar</w:t>
      </w:r>
      <w:proofErr w:type="spellEnd"/>
      <w:r w:rsidRPr="00BE0D55">
        <w:rPr>
          <w:rFonts w:ascii="Cambria" w:hAnsi="Cambria" w:cs="Times New Roman"/>
        </w:rPr>
        <w:t xml:space="preserve"> </w:t>
      </w:r>
      <w:proofErr w:type="spellStart"/>
      <w:r w:rsidRPr="00BE0D55">
        <w:rPr>
          <w:rFonts w:ascii="Cambria" w:hAnsi="Cambria" w:cs="Times New Roman"/>
        </w:rPr>
        <w:t>pulau</w:t>
      </w:r>
      <w:proofErr w:type="spellEnd"/>
      <w:r w:rsidRPr="00BE0D55">
        <w:rPr>
          <w:rFonts w:ascii="Cambria" w:hAnsi="Cambria" w:cs="Times New Roman"/>
        </w:rPr>
        <w:t xml:space="preserve"> Jawa </w:t>
      </w:r>
      <w:proofErr w:type="spellStart"/>
      <w:r w:rsidRPr="00BE0D55">
        <w:rPr>
          <w:rFonts w:ascii="Cambria" w:hAnsi="Cambria" w:cs="Times New Roman"/>
        </w:rPr>
        <w:t>tidak</w:t>
      </w:r>
      <w:proofErr w:type="spellEnd"/>
      <w:r w:rsidRPr="00BE0D55">
        <w:rPr>
          <w:rFonts w:ascii="Cambria" w:hAnsi="Cambria" w:cs="Times New Roman"/>
        </w:rPr>
        <w:t xml:space="preserve"> </w:t>
      </w:r>
      <w:proofErr w:type="spellStart"/>
      <w:r w:rsidRPr="00BE0D55">
        <w:rPr>
          <w:rFonts w:ascii="Cambria" w:hAnsi="Cambria" w:cs="Times New Roman"/>
        </w:rPr>
        <w:t>terbiasa</w:t>
      </w:r>
      <w:proofErr w:type="spellEnd"/>
      <w:r w:rsidRPr="00BE0D55">
        <w:rPr>
          <w:rFonts w:ascii="Cambria" w:hAnsi="Cambria" w:cs="Times New Roman"/>
        </w:rPr>
        <w:t xml:space="preserve"> </w:t>
      </w:r>
      <w:proofErr w:type="spellStart"/>
      <w:r w:rsidRPr="00BE0D55">
        <w:rPr>
          <w:rFonts w:ascii="Cambria" w:hAnsi="Cambria" w:cs="Times New Roman"/>
        </w:rPr>
        <w:t>dengan</w:t>
      </w:r>
      <w:proofErr w:type="spellEnd"/>
      <w:r w:rsidRPr="00BE0D55">
        <w:rPr>
          <w:rFonts w:ascii="Cambria" w:hAnsi="Cambria" w:cs="Times New Roman"/>
        </w:rPr>
        <w:t xml:space="preserve"> </w:t>
      </w:r>
      <w:proofErr w:type="spellStart"/>
      <w:r w:rsidRPr="00BE0D55">
        <w:rPr>
          <w:rFonts w:ascii="Cambria" w:hAnsi="Cambria" w:cs="Times New Roman"/>
        </w:rPr>
        <w:t>jamu</w:t>
      </w:r>
      <w:proofErr w:type="spellEnd"/>
      <w:r w:rsidRPr="00BE0D55">
        <w:rPr>
          <w:rFonts w:ascii="Cambria" w:hAnsi="Cambria" w:cs="Times New Roman"/>
        </w:rPr>
        <w:t xml:space="preserve"> </w:t>
      </w:r>
      <w:proofErr w:type="spellStart"/>
      <w:r w:rsidRPr="00BE0D55">
        <w:rPr>
          <w:rFonts w:ascii="Cambria" w:hAnsi="Cambria" w:cs="Times New Roman"/>
        </w:rPr>
        <w:t>sehingga</w:t>
      </w:r>
      <w:proofErr w:type="spellEnd"/>
      <w:r w:rsidRPr="00BE0D55">
        <w:rPr>
          <w:rFonts w:ascii="Cambria" w:hAnsi="Cambria" w:cs="Times New Roman"/>
        </w:rPr>
        <w:t xml:space="preserve"> </w:t>
      </w:r>
      <w:proofErr w:type="spellStart"/>
      <w:r w:rsidRPr="00BE0D55">
        <w:rPr>
          <w:rFonts w:ascii="Cambria" w:hAnsi="Cambria" w:cs="Times New Roman"/>
        </w:rPr>
        <w:t>potensi</w:t>
      </w:r>
      <w:proofErr w:type="spellEnd"/>
      <w:r w:rsidRPr="00BE0D55">
        <w:rPr>
          <w:rFonts w:ascii="Cambria" w:hAnsi="Cambria" w:cs="Times New Roman"/>
        </w:rPr>
        <w:t xml:space="preserve"> </w:t>
      </w:r>
      <w:proofErr w:type="spellStart"/>
      <w:r w:rsidRPr="00BE0D55">
        <w:rPr>
          <w:rFonts w:ascii="Cambria" w:hAnsi="Cambria" w:cs="Times New Roman"/>
        </w:rPr>
        <w:t>jamu</w:t>
      </w:r>
      <w:proofErr w:type="spellEnd"/>
      <w:r w:rsidRPr="00BE0D55">
        <w:rPr>
          <w:rFonts w:ascii="Cambria" w:hAnsi="Cambria" w:cs="Times New Roman"/>
        </w:rPr>
        <w:t xml:space="preserve"> </w:t>
      </w:r>
      <w:proofErr w:type="spellStart"/>
      <w:r w:rsidRPr="00BE0D55">
        <w:rPr>
          <w:rFonts w:ascii="Cambria" w:hAnsi="Cambria" w:cs="Times New Roman"/>
        </w:rPr>
        <w:t>sebagai</w:t>
      </w:r>
      <w:proofErr w:type="spellEnd"/>
      <w:r w:rsidRPr="00BE0D55">
        <w:rPr>
          <w:rFonts w:ascii="Cambria" w:hAnsi="Cambria" w:cs="Times New Roman"/>
        </w:rPr>
        <w:t xml:space="preserve"> </w:t>
      </w:r>
      <w:proofErr w:type="spellStart"/>
      <w:r w:rsidRPr="00BE0D55">
        <w:rPr>
          <w:rFonts w:ascii="Cambria" w:hAnsi="Cambria" w:cs="Times New Roman"/>
        </w:rPr>
        <w:t>nutrasetikal</w:t>
      </w:r>
      <w:proofErr w:type="spellEnd"/>
      <w:r w:rsidRPr="00BE0D55">
        <w:rPr>
          <w:rFonts w:ascii="Cambria" w:hAnsi="Cambria" w:cs="Times New Roman"/>
        </w:rPr>
        <w:t xml:space="preserve"> </w:t>
      </w:r>
      <w:proofErr w:type="spellStart"/>
      <w:r w:rsidRPr="00BE0D55">
        <w:rPr>
          <w:rFonts w:ascii="Cambria" w:hAnsi="Cambria" w:cs="Times New Roman"/>
        </w:rPr>
        <w:t>menjadi</w:t>
      </w:r>
      <w:proofErr w:type="spellEnd"/>
      <w:r w:rsidRPr="00BE0D55">
        <w:rPr>
          <w:rFonts w:ascii="Cambria" w:hAnsi="Cambria" w:cs="Times New Roman"/>
        </w:rPr>
        <w:t xml:space="preserve"> </w:t>
      </w:r>
      <w:proofErr w:type="spellStart"/>
      <w:r w:rsidRPr="00BE0D55">
        <w:rPr>
          <w:rFonts w:ascii="Cambria" w:hAnsi="Cambria" w:cs="Times New Roman"/>
        </w:rPr>
        <w:t>kurang</w:t>
      </w:r>
      <w:proofErr w:type="spellEnd"/>
      <w:r w:rsidRPr="00BE0D55">
        <w:rPr>
          <w:rFonts w:ascii="Cambria" w:hAnsi="Cambria" w:cs="Times New Roman"/>
        </w:rPr>
        <w:t xml:space="preserve"> </w:t>
      </w:r>
      <w:proofErr w:type="spellStart"/>
      <w:r w:rsidRPr="00BE0D55">
        <w:rPr>
          <w:rFonts w:ascii="Cambria" w:hAnsi="Cambria" w:cs="Times New Roman"/>
        </w:rPr>
        <w:t>termanfaatkan</w:t>
      </w:r>
      <w:proofErr w:type="spellEnd"/>
      <w:r w:rsidRPr="00BE0D55">
        <w:rPr>
          <w:rFonts w:ascii="Cambria" w:hAnsi="Cambria" w:cs="Times New Roman"/>
        </w:rPr>
        <w:t>.</w:t>
      </w:r>
    </w:p>
    <w:p w14:paraId="59E04EF0" w14:textId="57B66CA9" w:rsidR="00C72575" w:rsidRDefault="00BE0D55" w:rsidP="00BE0D55">
      <w:pPr>
        <w:spacing w:after="0" w:line="240" w:lineRule="auto"/>
        <w:ind w:firstLine="567"/>
        <w:jc w:val="both"/>
        <w:rPr>
          <w:rFonts w:ascii="Cambria" w:hAnsi="Cambria" w:cs="Times New Roman"/>
        </w:rPr>
      </w:pPr>
      <w:proofErr w:type="spellStart"/>
      <w:r w:rsidRPr="00BE0D55">
        <w:rPr>
          <w:rFonts w:ascii="Cambria" w:hAnsi="Cambria" w:cs="Times New Roman"/>
        </w:rPr>
        <w:t>Berdasarkan</w:t>
      </w:r>
      <w:proofErr w:type="spellEnd"/>
      <w:r w:rsidRPr="00BE0D55">
        <w:rPr>
          <w:rFonts w:ascii="Cambria" w:hAnsi="Cambria" w:cs="Times New Roman"/>
        </w:rPr>
        <w:t xml:space="preserve"> </w:t>
      </w:r>
      <w:proofErr w:type="spellStart"/>
      <w:r w:rsidRPr="00BE0D55">
        <w:rPr>
          <w:rFonts w:ascii="Cambria" w:hAnsi="Cambria" w:cs="Times New Roman"/>
        </w:rPr>
        <w:t>hal</w:t>
      </w:r>
      <w:proofErr w:type="spellEnd"/>
      <w:r w:rsidRPr="00BE0D55">
        <w:rPr>
          <w:rFonts w:ascii="Cambria" w:hAnsi="Cambria" w:cs="Times New Roman"/>
        </w:rPr>
        <w:t xml:space="preserve"> </w:t>
      </w:r>
      <w:proofErr w:type="spellStart"/>
      <w:r w:rsidRPr="00BE0D55">
        <w:rPr>
          <w:rFonts w:ascii="Cambria" w:hAnsi="Cambria" w:cs="Times New Roman"/>
        </w:rPr>
        <w:t>tersebut</w:t>
      </w:r>
      <w:proofErr w:type="spellEnd"/>
      <w:r w:rsidRPr="00BE0D55">
        <w:rPr>
          <w:rFonts w:ascii="Cambria" w:hAnsi="Cambria" w:cs="Times New Roman"/>
        </w:rPr>
        <w:t xml:space="preserve"> </w:t>
      </w:r>
      <w:proofErr w:type="spellStart"/>
      <w:r w:rsidRPr="00BE0D55">
        <w:rPr>
          <w:rFonts w:ascii="Cambria" w:hAnsi="Cambria" w:cs="Times New Roman"/>
        </w:rPr>
        <w:t>maka</w:t>
      </w:r>
      <w:proofErr w:type="spellEnd"/>
      <w:r w:rsidRPr="00BE0D55">
        <w:rPr>
          <w:rFonts w:ascii="Cambria" w:hAnsi="Cambria" w:cs="Times New Roman"/>
        </w:rPr>
        <w:t xml:space="preserve"> </w:t>
      </w:r>
      <w:proofErr w:type="spellStart"/>
      <w:r w:rsidRPr="00BE0D55">
        <w:rPr>
          <w:rFonts w:ascii="Cambria" w:hAnsi="Cambria" w:cs="Times New Roman"/>
        </w:rPr>
        <w:t>peneliti</w:t>
      </w:r>
      <w:proofErr w:type="spellEnd"/>
      <w:r w:rsidRPr="00BE0D55">
        <w:rPr>
          <w:rFonts w:ascii="Cambria" w:hAnsi="Cambria" w:cs="Times New Roman"/>
        </w:rPr>
        <w:t xml:space="preserve"> </w:t>
      </w:r>
      <w:proofErr w:type="spellStart"/>
      <w:r w:rsidR="00ED34E4">
        <w:rPr>
          <w:rFonts w:ascii="Cambria" w:hAnsi="Cambria" w:cs="Times New Roman"/>
        </w:rPr>
        <w:t>menawarkan</w:t>
      </w:r>
      <w:proofErr w:type="spellEnd"/>
      <w:r w:rsidR="00ED34E4">
        <w:rPr>
          <w:rFonts w:ascii="Cambria" w:hAnsi="Cambria" w:cs="Times New Roman"/>
        </w:rPr>
        <w:t xml:space="preserve"> </w:t>
      </w:r>
      <w:proofErr w:type="spellStart"/>
      <w:r w:rsidR="00ED34E4">
        <w:rPr>
          <w:rFonts w:ascii="Cambria" w:hAnsi="Cambria" w:cs="Times New Roman"/>
        </w:rPr>
        <w:t>suatu</w:t>
      </w:r>
      <w:proofErr w:type="spellEnd"/>
      <w:r w:rsidR="00ED34E4">
        <w:rPr>
          <w:rFonts w:ascii="Cambria" w:hAnsi="Cambria" w:cs="Times New Roman"/>
        </w:rPr>
        <w:t xml:space="preserve"> </w:t>
      </w:r>
      <w:proofErr w:type="spellStart"/>
      <w:r w:rsidR="00ED34E4">
        <w:rPr>
          <w:rFonts w:ascii="Cambria" w:hAnsi="Cambria" w:cs="Times New Roman"/>
        </w:rPr>
        <w:t>inobasi</w:t>
      </w:r>
      <w:proofErr w:type="spellEnd"/>
      <w:r w:rsidRPr="00BE0D55">
        <w:rPr>
          <w:rFonts w:ascii="Cambria" w:hAnsi="Cambria" w:cs="Times New Roman"/>
        </w:rPr>
        <w:t xml:space="preserve"> </w:t>
      </w:r>
      <w:proofErr w:type="spellStart"/>
      <w:r w:rsidRPr="00BE0D55">
        <w:rPr>
          <w:rFonts w:ascii="Cambria" w:hAnsi="Cambria" w:cs="Times New Roman"/>
        </w:rPr>
        <w:t>dalam</w:t>
      </w:r>
      <w:proofErr w:type="spellEnd"/>
      <w:r w:rsidRPr="00BE0D55">
        <w:rPr>
          <w:rFonts w:ascii="Cambria" w:hAnsi="Cambria" w:cs="Times New Roman"/>
        </w:rPr>
        <w:t xml:space="preserve"> </w:t>
      </w:r>
      <w:proofErr w:type="spellStart"/>
      <w:r w:rsidRPr="00BE0D55">
        <w:rPr>
          <w:rFonts w:ascii="Cambria" w:hAnsi="Cambria" w:cs="Times New Roman"/>
        </w:rPr>
        <w:t>penyediaan</w:t>
      </w:r>
      <w:proofErr w:type="spellEnd"/>
      <w:r w:rsidRPr="00BE0D55">
        <w:rPr>
          <w:rFonts w:ascii="Cambria" w:hAnsi="Cambria" w:cs="Times New Roman"/>
        </w:rPr>
        <w:t xml:space="preserve"> </w:t>
      </w:r>
      <w:proofErr w:type="spellStart"/>
      <w:r w:rsidRPr="00BE0D55">
        <w:rPr>
          <w:rFonts w:ascii="Cambria" w:hAnsi="Cambria" w:cs="Times New Roman"/>
        </w:rPr>
        <w:t>jamu</w:t>
      </w:r>
      <w:proofErr w:type="spellEnd"/>
      <w:r w:rsidRPr="00BE0D55">
        <w:rPr>
          <w:rFonts w:ascii="Cambria" w:hAnsi="Cambria" w:cs="Times New Roman"/>
        </w:rPr>
        <w:t xml:space="preserve"> </w:t>
      </w:r>
      <w:proofErr w:type="spellStart"/>
      <w:r w:rsidRPr="00BE0D55">
        <w:rPr>
          <w:rFonts w:ascii="Cambria" w:hAnsi="Cambria" w:cs="Times New Roman"/>
        </w:rPr>
        <w:t>tidak</w:t>
      </w:r>
      <w:proofErr w:type="spellEnd"/>
      <w:r w:rsidRPr="00BE0D55">
        <w:rPr>
          <w:rFonts w:ascii="Cambria" w:hAnsi="Cambria" w:cs="Times New Roman"/>
        </w:rPr>
        <w:t xml:space="preserve"> </w:t>
      </w:r>
      <w:proofErr w:type="spellStart"/>
      <w:r w:rsidRPr="00BE0D55">
        <w:rPr>
          <w:rFonts w:ascii="Cambria" w:hAnsi="Cambria" w:cs="Times New Roman"/>
        </w:rPr>
        <w:t>dalam</w:t>
      </w:r>
      <w:proofErr w:type="spellEnd"/>
      <w:r w:rsidRPr="00BE0D55">
        <w:rPr>
          <w:rFonts w:ascii="Cambria" w:hAnsi="Cambria" w:cs="Times New Roman"/>
        </w:rPr>
        <w:t xml:space="preserve"> </w:t>
      </w:r>
      <w:proofErr w:type="spellStart"/>
      <w:r w:rsidRPr="00BE0D55">
        <w:rPr>
          <w:rFonts w:ascii="Cambria" w:hAnsi="Cambria" w:cs="Times New Roman"/>
        </w:rPr>
        <w:t>bentuk</w:t>
      </w:r>
      <w:proofErr w:type="spellEnd"/>
      <w:r w:rsidRPr="00BE0D55">
        <w:rPr>
          <w:rFonts w:ascii="Cambria" w:hAnsi="Cambria" w:cs="Times New Roman"/>
        </w:rPr>
        <w:t xml:space="preserve"> </w:t>
      </w:r>
      <w:proofErr w:type="spellStart"/>
      <w:r w:rsidRPr="00BE0D55">
        <w:rPr>
          <w:rFonts w:ascii="Cambria" w:hAnsi="Cambria" w:cs="Times New Roman"/>
        </w:rPr>
        <w:t>minuman</w:t>
      </w:r>
      <w:proofErr w:type="spellEnd"/>
      <w:r w:rsidRPr="00BE0D55">
        <w:rPr>
          <w:rFonts w:ascii="Cambria" w:hAnsi="Cambria" w:cs="Times New Roman"/>
        </w:rPr>
        <w:t xml:space="preserve"> </w:t>
      </w:r>
      <w:proofErr w:type="spellStart"/>
      <w:r w:rsidRPr="00BE0D55">
        <w:rPr>
          <w:rFonts w:ascii="Cambria" w:hAnsi="Cambria" w:cs="Times New Roman"/>
        </w:rPr>
        <w:t>namun</w:t>
      </w:r>
      <w:proofErr w:type="spellEnd"/>
      <w:r w:rsidRPr="00BE0D55">
        <w:rPr>
          <w:rFonts w:ascii="Cambria" w:hAnsi="Cambria" w:cs="Times New Roman"/>
        </w:rPr>
        <w:t xml:space="preserve"> </w:t>
      </w:r>
      <w:proofErr w:type="spellStart"/>
      <w:r w:rsidRPr="00BE0D55">
        <w:rPr>
          <w:rFonts w:ascii="Cambria" w:hAnsi="Cambria" w:cs="Times New Roman"/>
        </w:rPr>
        <w:t>dalam</w:t>
      </w:r>
      <w:proofErr w:type="spellEnd"/>
      <w:r w:rsidRPr="00BE0D55">
        <w:rPr>
          <w:rFonts w:ascii="Cambria" w:hAnsi="Cambria" w:cs="Times New Roman"/>
        </w:rPr>
        <w:t xml:space="preserve"> </w:t>
      </w:r>
      <w:proofErr w:type="spellStart"/>
      <w:r w:rsidRPr="00BE0D55">
        <w:rPr>
          <w:rFonts w:ascii="Cambria" w:hAnsi="Cambria" w:cs="Times New Roman"/>
        </w:rPr>
        <w:t>bentuk</w:t>
      </w:r>
      <w:proofErr w:type="spellEnd"/>
      <w:r w:rsidRPr="00BE0D55">
        <w:rPr>
          <w:rFonts w:ascii="Cambria" w:hAnsi="Cambria" w:cs="Times New Roman"/>
        </w:rPr>
        <w:t xml:space="preserve"> </w:t>
      </w:r>
      <w:proofErr w:type="spellStart"/>
      <w:r w:rsidRPr="00BE0D55">
        <w:rPr>
          <w:rFonts w:ascii="Cambria" w:hAnsi="Cambria" w:cs="Times New Roman"/>
        </w:rPr>
        <w:t>makanan</w:t>
      </w:r>
      <w:proofErr w:type="spellEnd"/>
      <w:r w:rsidRPr="00BE0D55">
        <w:rPr>
          <w:rFonts w:ascii="Cambria" w:hAnsi="Cambria" w:cs="Times New Roman"/>
        </w:rPr>
        <w:t xml:space="preserve"> </w:t>
      </w:r>
      <w:proofErr w:type="spellStart"/>
      <w:r w:rsidRPr="00BE0D55">
        <w:rPr>
          <w:rFonts w:ascii="Cambria" w:hAnsi="Cambria" w:cs="Times New Roman"/>
        </w:rPr>
        <w:t>yaitu</w:t>
      </w:r>
      <w:proofErr w:type="spellEnd"/>
      <w:r w:rsidRPr="00BE0D55">
        <w:rPr>
          <w:rFonts w:ascii="Cambria" w:hAnsi="Cambria" w:cs="Times New Roman"/>
        </w:rPr>
        <w:t xml:space="preserve"> </w:t>
      </w:r>
      <w:proofErr w:type="spellStart"/>
      <w:r w:rsidRPr="00BE0D55">
        <w:rPr>
          <w:rFonts w:ascii="Cambria" w:hAnsi="Cambria" w:cs="Times New Roman"/>
        </w:rPr>
        <w:t>biskuit</w:t>
      </w:r>
      <w:proofErr w:type="spellEnd"/>
      <w:r w:rsidRPr="00BE0D55">
        <w:rPr>
          <w:rFonts w:ascii="Cambria" w:hAnsi="Cambria" w:cs="Times New Roman"/>
        </w:rPr>
        <w:t xml:space="preserve">. </w:t>
      </w:r>
      <w:proofErr w:type="spellStart"/>
      <w:r w:rsidRPr="00BE0D55">
        <w:rPr>
          <w:rFonts w:ascii="Cambria" w:hAnsi="Cambria" w:cs="Times New Roman"/>
        </w:rPr>
        <w:t>Biskuit</w:t>
      </w:r>
      <w:proofErr w:type="spellEnd"/>
      <w:r w:rsidRPr="00BE0D55">
        <w:rPr>
          <w:rFonts w:ascii="Cambria" w:hAnsi="Cambria" w:cs="Times New Roman"/>
        </w:rPr>
        <w:t xml:space="preserve"> </w:t>
      </w:r>
      <w:proofErr w:type="spellStart"/>
      <w:r w:rsidRPr="00BE0D55">
        <w:rPr>
          <w:rFonts w:ascii="Cambria" w:hAnsi="Cambria" w:cs="Times New Roman"/>
        </w:rPr>
        <w:t>dipilih</w:t>
      </w:r>
      <w:proofErr w:type="spellEnd"/>
      <w:r w:rsidRPr="00BE0D55">
        <w:rPr>
          <w:rFonts w:ascii="Cambria" w:hAnsi="Cambria" w:cs="Times New Roman"/>
        </w:rPr>
        <w:t xml:space="preserve"> </w:t>
      </w:r>
      <w:proofErr w:type="spellStart"/>
      <w:r w:rsidRPr="00BE0D55">
        <w:rPr>
          <w:rFonts w:ascii="Cambria" w:hAnsi="Cambria" w:cs="Times New Roman"/>
        </w:rPr>
        <w:t>menjadi</w:t>
      </w:r>
      <w:proofErr w:type="spellEnd"/>
      <w:r w:rsidRPr="00BE0D55">
        <w:rPr>
          <w:rFonts w:ascii="Cambria" w:hAnsi="Cambria" w:cs="Times New Roman"/>
        </w:rPr>
        <w:t xml:space="preserve"> salah </w:t>
      </w:r>
      <w:proofErr w:type="spellStart"/>
      <w:r w:rsidRPr="00BE0D55">
        <w:rPr>
          <w:rFonts w:ascii="Cambria" w:hAnsi="Cambria" w:cs="Times New Roman"/>
        </w:rPr>
        <w:t>satu</w:t>
      </w:r>
      <w:proofErr w:type="spellEnd"/>
      <w:r w:rsidRPr="00BE0D55">
        <w:rPr>
          <w:rFonts w:ascii="Cambria" w:hAnsi="Cambria" w:cs="Times New Roman"/>
        </w:rPr>
        <w:t xml:space="preserve"> </w:t>
      </w:r>
      <w:proofErr w:type="spellStart"/>
      <w:r w:rsidRPr="00BE0D55">
        <w:rPr>
          <w:rFonts w:ascii="Cambria" w:hAnsi="Cambria" w:cs="Times New Roman"/>
        </w:rPr>
        <w:t>bentuk</w:t>
      </w:r>
      <w:proofErr w:type="spellEnd"/>
      <w:r w:rsidRPr="00BE0D55">
        <w:rPr>
          <w:rFonts w:ascii="Cambria" w:hAnsi="Cambria" w:cs="Times New Roman"/>
        </w:rPr>
        <w:t xml:space="preserve"> </w:t>
      </w:r>
      <w:proofErr w:type="spellStart"/>
      <w:r w:rsidRPr="00BE0D55">
        <w:rPr>
          <w:rFonts w:ascii="Cambria" w:hAnsi="Cambria" w:cs="Times New Roman"/>
        </w:rPr>
        <w:t>sediaan</w:t>
      </w:r>
      <w:proofErr w:type="spellEnd"/>
      <w:r w:rsidRPr="00BE0D55">
        <w:rPr>
          <w:rFonts w:ascii="Cambria" w:hAnsi="Cambria" w:cs="Times New Roman"/>
        </w:rPr>
        <w:t xml:space="preserve"> </w:t>
      </w:r>
      <w:proofErr w:type="spellStart"/>
      <w:r w:rsidRPr="00BE0D55">
        <w:rPr>
          <w:rFonts w:ascii="Cambria" w:hAnsi="Cambria" w:cs="Times New Roman"/>
        </w:rPr>
        <w:t>jamu</w:t>
      </w:r>
      <w:proofErr w:type="spellEnd"/>
      <w:r w:rsidRPr="00BE0D55">
        <w:rPr>
          <w:rFonts w:ascii="Cambria" w:hAnsi="Cambria" w:cs="Times New Roman"/>
        </w:rPr>
        <w:t xml:space="preserve"> </w:t>
      </w:r>
      <w:proofErr w:type="spellStart"/>
      <w:r w:rsidRPr="00BE0D55">
        <w:rPr>
          <w:rFonts w:ascii="Cambria" w:hAnsi="Cambria" w:cs="Times New Roman"/>
        </w:rPr>
        <w:t>karena</w:t>
      </w:r>
      <w:proofErr w:type="spellEnd"/>
      <w:r w:rsidRPr="00BE0D55">
        <w:rPr>
          <w:rFonts w:ascii="Cambria" w:hAnsi="Cambria" w:cs="Times New Roman"/>
        </w:rPr>
        <w:t xml:space="preserve"> </w:t>
      </w:r>
      <w:proofErr w:type="spellStart"/>
      <w:r w:rsidRPr="00BE0D55">
        <w:rPr>
          <w:rFonts w:ascii="Cambria" w:hAnsi="Cambria" w:cs="Times New Roman"/>
        </w:rPr>
        <w:t>biskuit</w:t>
      </w:r>
      <w:proofErr w:type="spellEnd"/>
      <w:r w:rsidRPr="00BE0D55">
        <w:rPr>
          <w:rFonts w:ascii="Cambria" w:hAnsi="Cambria" w:cs="Times New Roman"/>
        </w:rPr>
        <w:t xml:space="preserve"> </w:t>
      </w:r>
      <w:proofErr w:type="spellStart"/>
      <w:r w:rsidRPr="00BE0D55">
        <w:rPr>
          <w:rFonts w:ascii="Cambria" w:hAnsi="Cambria" w:cs="Times New Roman"/>
        </w:rPr>
        <w:t>mudah</w:t>
      </w:r>
      <w:proofErr w:type="spellEnd"/>
      <w:r w:rsidRPr="00BE0D55">
        <w:rPr>
          <w:rFonts w:ascii="Cambria" w:hAnsi="Cambria" w:cs="Times New Roman"/>
        </w:rPr>
        <w:t xml:space="preserve"> </w:t>
      </w:r>
      <w:proofErr w:type="spellStart"/>
      <w:r w:rsidRPr="00BE0D55">
        <w:rPr>
          <w:rFonts w:ascii="Cambria" w:hAnsi="Cambria" w:cs="Times New Roman"/>
        </w:rPr>
        <w:t>disukai</w:t>
      </w:r>
      <w:proofErr w:type="spellEnd"/>
      <w:r w:rsidRPr="00BE0D55">
        <w:rPr>
          <w:rFonts w:ascii="Cambria" w:hAnsi="Cambria" w:cs="Times New Roman"/>
        </w:rPr>
        <w:t xml:space="preserve"> </w:t>
      </w:r>
      <w:proofErr w:type="spellStart"/>
      <w:r w:rsidRPr="00BE0D55">
        <w:rPr>
          <w:rFonts w:ascii="Cambria" w:hAnsi="Cambria" w:cs="Times New Roman"/>
        </w:rPr>
        <w:t>semua</w:t>
      </w:r>
      <w:proofErr w:type="spellEnd"/>
      <w:r w:rsidRPr="00BE0D55">
        <w:rPr>
          <w:rFonts w:ascii="Cambria" w:hAnsi="Cambria" w:cs="Times New Roman"/>
        </w:rPr>
        <w:t xml:space="preserve"> </w:t>
      </w:r>
      <w:proofErr w:type="spellStart"/>
      <w:r w:rsidRPr="00BE0D55">
        <w:rPr>
          <w:rFonts w:ascii="Cambria" w:hAnsi="Cambria" w:cs="Times New Roman"/>
        </w:rPr>
        <w:t>kalangan</w:t>
      </w:r>
      <w:proofErr w:type="spellEnd"/>
      <w:r w:rsidRPr="00BE0D55">
        <w:rPr>
          <w:rFonts w:ascii="Cambria" w:hAnsi="Cambria" w:cs="Times New Roman"/>
        </w:rPr>
        <w:t xml:space="preserve"> dan </w:t>
      </w:r>
      <w:proofErr w:type="spellStart"/>
      <w:r w:rsidRPr="00BE0D55">
        <w:rPr>
          <w:rFonts w:ascii="Cambria" w:hAnsi="Cambria" w:cs="Times New Roman"/>
        </w:rPr>
        <w:t>semua</w:t>
      </w:r>
      <w:proofErr w:type="spellEnd"/>
      <w:r w:rsidRPr="00BE0D55">
        <w:rPr>
          <w:rFonts w:ascii="Cambria" w:hAnsi="Cambria" w:cs="Times New Roman"/>
        </w:rPr>
        <w:t xml:space="preserve"> </w:t>
      </w:r>
      <w:proofErr w:type="spellStart"/>
      <w:r w:rsidRPr="00BE0D55">
        <w:rPr>
          <w:rFonts w:ascii="Cambria" w:hAnsi="Cambria" w:cs="Times New Roman"/>
        </w:rPr>
        <w:t>kelompok</w:t>
      </w:r>
      <w:proofErr w:type="spellEnd"/>
      <w:r w:rsidRPr="00BE0D55">
        <w:rPr>
          <w:rFonts w:ascii="Cambria" w:hAnsi="Cambria" w:cs="Times New Roman"/>
        </w:rPr>
        <w:t xml:space="preserve"> </w:t>
      </w:r>
      <w:proofErr w:type="spellStart"/>
      <w:r w:rsidRPr="00BE0D55">
        <w:rPr>
          <w:rFonts w:ascii="Cambria" w:hAnsi="Cambria" w:cs="Times New Roman"/>
        </w:rPr>
        <w:t>usia</w:t>
      </w:r>
      <w:proofErr w:type="spellEnd"/>
      <w:r w:rsidRPr="00BE0D55">
        <w:rPr>
          <w:rFonts w:ascii="Cambria" w:hAnsi="Cambria" w:cs="Times New Roman"/>
        </w:rPr>
        <w:t xml:space="preserve">. </w:t>
      </w:r>
      <w:proofErr w:type="spellStart"/>
      <w:r w:rsidRPr="00BE0D55">
        <w:rPr>
          <w:rFonts w:ascii="Cambria" w:hAnsi="Cambria" w:cs="Times New Roman"/>
        </w:rPr>
        <w:t>Namun</w:t>
      </w:r>
      <w:proofErr w:type="spellEnd"/>
      <w:r w:rsidRPr="00BE0D55">
        <w:rPr>
          <w:rFonts w:ascii="Cambria" w:hAnsi="Cambria" w:cs="Times New Roman"/>
        </w:rPr>
        <w:t xml:space="preserve"> </w:t>
      </w:r>
      <w:proofErr w:type="spellStart"/>
      <w:r w:rsidRPr="00BE0D55">
        <w:rPr>
          <w:rFonts w:ascii="Cambria" w:hAnsi="Cambria" w:cs="Times New Roman"/>
        </w:rPr>
        <w:t>untuk</w:t>
      </w:r>
      <w:proofErr w:type="spellEnd"/>
      <w:r w:rsidRPr="00BE0D55">
        <w:rPr>
          <w:rFonts w:ascii="Cambria" w:hAnsi="Cambria" w:cs="Times New Roman"/>
        </w:rPr>
        <w:t xml:space="preserve"> </w:t>
      </w:r>
      <w:proofErr w:type="spellStart"/>
      <w:r w:rsidRPr="00BE0D55">
        <w:rPr>
          <w:rFonts w:ascii="Cambria" w:hAnsi="Cambria" w:cs="Times New Roman"/>
        </w:rPr>
        <w:t>mendapatkan</w:t>
      </w:r>
      <w:proofErr w:type="spellEnd"/>
      <w:r w:rsidRPr="00BE0D55">
        <w:rPr>
          <w:rFonts w:ascii="Cambria" w:hAnsi="Cambria" w:cs="Times New Roman"/>
        </w:rPr>
        <w:t xml:space="preserve"> </w:t>
      </w:r>
      <w:proofErr w:type="spellStart"/>
      <w:r w:rsidRPr="00BE0D55">
        <w:rPr>
          <w:rFonts w:ascii="Cambria" w:hAnsi="Cambria" w:cs="Times New Roman"/>
        </w:rPr>
        <w:t>biskuit</w:t>
      </w:r>
      <w:proofErr w:type="spellEnd"/>
      <w:r w:rsidRPr="00BE0D55">
        <w:rPr>
          <w:rFonts w:ascii="Cambria" w:hAnsi="Cambria" w:cs="Times New Roman"/>
        </w:rPr>
        <w:t xml:space="preserve"> yang </w:t>
      </w:r>
      <w:proofErr w:type="spellStart"/>
      <w:r w:rsidR="00ED34E4">
        <w:rPr>
          <w:rFonts w:ascii="Cambria" w:hAnsi="Cambria" w:cs="Times New Roman"/>
        </w:rPr>
        <w:t>bersifat</w:t>
      </w:r>
      <w:proofErr w:type="spellEnd"/>
      <w:r w:rsidRPr="00BE0D55">
        <w:rPr>
          <w:rFonts w:ascii="Cambria" w:hAnsi="Cambria" w:cs="Times New Roman"/>
        </w:rPr>
        <w:t xml:space="preserve"> </w:t>
      </w:r>
      <w:proofErr w:type="spellStart"/>
      <w:r w:rsidRPr="00BE0D55">
        <w:rPr>
          <w:rFonts w:ascii="Cambria" w:hAnsi="Cambria" w:cs="Times New Roman"/>
        </w:rPr>
        <w:t>fungsional</w:t>
      </w:r>
      <w:proofErr w:type="spellEnd"/>
      <w:r w:rsidRPr="00BE0D55">
        <w:rPr>
          <w:rFonts w:ascii="Cambria" w:hAnsi="Cambria" w:cs="Times New Roman"/>
        </w:rPr>
        <w:t xml:space="preserve"> </w:t>
      </w:r>
      <w:proofErr w:type="spellStart"/>
      <w:r w:rsidRPr="00BE0D55">
        <w:rPr>
          <w:rFonts w:ascii="Cambria" w:hAnsi="Cambria" w:cs="Times New Roman"/>
        </w:rPr>
        <w:t>dalam</w:t>
      </w:r>
      <w:proofErr w:type="spellEnd"/>
      <w:r w:rsidRPr="00BE0D55">
        <w:rPr>
          <w:rFonts w:ascii="Cambria" w:hAnsi="Cambria" w:cs="Times New Roman"/>
        </w:rPr>
        <w:t xml:space="preserve"> </w:t>
      </w:r>
      <w:proofErr w:type="spellStart"/>
      <w:r w:rsidRPr="00BE0D55">
        <w:rPr>
          <w:rFonts w:ascii="Cambria" w:hAnsi="Cambria" w:cs="Times New Roman"/>
        </w:rPr>
        <w:t>mencegah</w:t>
      </w:r>
      <w:proofErr w:type="spellEnd"/>
      <w:r w:rsidRPr="00BE0D55">
        <w:rPr>
          <w:rFonts w:ascii="Cambria" w:hAnsi="Cambria" w:cs="Times New Roman"/>
        </w:rPr>
        <w:t xml:space="preserve"> </w:t>
      </w:r>
      <w:proofErr w:type="spellStart"/>
      <w:r w:rsidRPr="00BE0D55">
        <w:rPr>
          <w:rFonts w:ascii="Cambria" w:hAnsi="Cambria" w:cs="Times New Roman"/>
        </w:rPr>
        <w:t>atau</w:t>
      </w:r>
      <w:proofErr w:type="spellEnd"/>
      <w:r w:rsidRPr="00BE0D55">
        <w:rPr>
          <w:rFonts w:ascii="Cambria" w:hAnsi="Cambria" w:cs="Times New Roman"/>
        </w:rPr>
        <w:t xml:space="preserve"> </w:t>
      </w:r>
      <w:proofErr w:type="spellStart"/>
      <w:r w:rsidRPr="00BE0D55">
        <w:rPr>
          <w:rFonts w:ascii="Cambria" w:hAnsi="Cambria" w:cs="Times New Roman"/>
        </w:rPr>
        <w:t>bahkan</w:t>
      </w:r>
      <w:proofErr w:type="spellEnd"/>
      <w:r w:rsidRPr="00BE0D55">
        <w:rPr>
          <w:rFonts w:ascii="Cambria" w:hAnsi="Cambria" w:cs="Times New Roman"/>
        </w:rPr>
        <w:t xml:space="preserve"> </w:t>
      </w:r>
      <w:proofErr w:type="spellStart"/>
      <w:r w:rsidRPr="00BE0D55">
        <w:rPr>
          <w:rFonts w:ascii="Cambria" w:hAnsi="Cambria" w:cs="Times New Roman"/>
        </w:rPr>
        <w:t>membantu</w:t>
      </w:r>
      <w:proofErr w:type="spellEnd"/>
      <w:r w:rsidRPr="00BE0D55">
        <w:rPr>
          <w:rFonts w:ascii="Cambria" w:hAnsi="Cambria" w:cs="Times New Roman"/>
        </w:rPr>
        <w:t xml:space="preserve"> </w:t>
      </w:r>
      <w:proofErr w:type="spellStart"/>
      <w:r w:rsidRPr="00BE0D55">
        <w:rPr>
          <w:rFonts w:ascii="Cambria" w:hAnsi="Cambria" w:cs="Times New Roman"/>
        </w:rPr>
        <w:t>penyembuhan</w:t>
      </w:r>
      <w:proofErr w:type="spellEnd"/>
      <w:r w:rsidRPr="00BE0D55">
        <w:rPr>
          <w:rFonts w:ascii="Cambria" w:hAnsi="Cambria" w:cs="Times New Roman"/>
        </w:rPr>
        <w:t xml:space="preserve"> </w:t>
      </w:r>
      <w:proofErr w:type="spellStart"/>
      <w:r w:rsidRPr="00BE0D55">
        <w:rPr>
          <w:rFonts w:ascii="Cambria" w:hAnsi="Cambria" w:cs="Times New Roman"/>
        </w:rPr>
        <w:t>infeksi</w:t>
      </w:r>
      <w:proofErr w:type="spellEnd"/>
      <w:r w:rsidRPr="00BE0D55">
        <w:rPr>
          <w:rFonts w:ascii="Cambria" w:hAnsi="Cambria" w:cs="Times New Roman"/>
        </w:rPr>
        <w:t xml:space="preserve"> Covid-19 </w:t>
      </w:r>
      <w:proofErr w:type="spellStart"/>
      <w:r w:rsidRPr="00BE0D55">
        <w:rPr>
          <w:rFonts w:ascii="Cambria" w:hAnsi="Cambria" w:cs="Times New Roman"/>
        </w:rPr>
        <w:t>dengan</w:t>
      </w:r>
      <w:proofErr w:type="spellEnd"/>
      <w:r w:rsidRPr="00BE0D55">
        <w:rPr>
          <w:rFonts w:ascii="Cambria" w:hAnsi="Cambria" w:cs="Times New Roman"/>
        </w:rPr>
        <w:t xml:space="preserve"> </w:t>
      </w:r>
      <w:proofErr w:type="spellStart"/>
      <w:r w:rsidR="00ED34E4">
        <w:rPr>
          <w:rFonts w:ascii="Cambria" w:hAnsi="Cambria" w:cs="Times New Roman"/>
        </w:rPr>
        <w:t>komponen</w:t>
      </w:r>
      <w:proofErr w:type="spellEnd"/>
      <w:r w:rsidR="00ED34E4">
        <w:rPr>
          <w:rFonts w:ascii="Cambria" w:hAnsi="Cambria" w:cs="Times New Roman"/>
        </w:rPr>
        <w:t xml:space="preserve"> </w:t>
      </w:r>
      <w:proofErr w:type="spellStart"/>
      <w:r w:rsidR="00ED34E4">
        <w:rPr>
          <w:rFonts w:ascii="Cambria" w:hAnsi="Cambria" w:cs="Times New Roman"/>
        </w:rPr>
        <w:t>sensori</w:t>
      </w:r>
      <w:proofErr w:type="spellEnd"/>
      <w:r w:rsidRPr="00BE0D55">
        <w:rPr>
          <w:rFonts w:ascii="Cambria" w:hAnsi="Cambria" w:cs="Times New Roman"/>
        </w:rPr>
        <w:t xml:space="preserve"> yang </w:t>
      </w:r>
      <w:proofErr w:type="spellStart"/>
      <w:r w:rsidRPr="00BE0D55">
        <w:rPr>
          <w:rFonts w:ascii="Cambria" w:hAnsi="Cambria" w:cs="Times New Roman"/>
        </w:rPr>
        <w:t>dapat</w:t>
      </w:r>
      <w:proofErr w:type="spellEnd"/>
      <w:r w:rsidRPr="00BE0D55">
        <w:rPr>
          <w:rFonts w:ascii="Cambria" w:hAnsi="Cambria" w:cs="Times New Roman"/>
        </w:rPr>
        <w:t xml:space="preserve"> </w:t>
      </w:r>
      <w:proofErr w:type="spellStart"/>
      <w:r w:rsidRPr="00BE0D55">
        <w:rPr>
          <w:rFonts w:ascii="Cambria" w:hAnsi="Cambria" w:cs="Times New Roman"/>
        </w:rPr>
        <w:t>diterima</w:t>
      </w:r>
      <w:proofErr w:type="spellEnd"/>
      <w:r w:rsidRPr="00BE0D55">
        <w:rPr>
          <w:rFonts w:ascii="Cambria" w:hAnsi="Cambria" w:cs="Times New Roman"/>
        </w:rPr>
        <w:t xml:space="preserve"> oleh </w:t>
      </w:r>
      <w:proofErr w:type="spellStart"/>
      <w:r w:rsidR="00ED34E4">
        <w:rPr>
          <w:rFonts w:ascii="Cambria" w:hAnsi="Cambria" w:cs="Times New Roman"/>
        </w:rPr>
        <w:t>semua</w:t>
      </w:r>
      <w:proofErr w:type="spellEnd"/>
      <w:r w:rsidR="00ED34E4">
        <w:rPr>
          <w:rFonts w:ascii="Cambria" w:hAnsi="Cambria" w:cs="Times New Roman"/>
        </w:rPr>
        <w:t xml:space="preserve"> </w:t>
      </w:r>
      <w:proofErr w:type="spellStart"/>
      <w:r w:rsidR="00ED34E4">
        <w:rPr>
          <w:rFonts w:ascii="Cambria" w:hAnsi="Cambria" w:cs="Times New Roman"/>
        </w:rPr>
        <w:t>kalangan</w:t>
      </w:r>
      <w:proofErr w:type="spellEnd"/>
      <w:r w:rsidRPr="00BE0D55">
        <w:rPr>
          <w:rFonts w:ascii="Cambria" w:hAnsi="Cambria" w:cs="Times New Roman"/>
        </w:rPr>
        <w:t xml:space="preserve"> </w:t>
      </w:r>
      <w:proofErr w:type="spellStart"/>
      <w:r w:rsidRPr="00BE0D55">
        <w:rPr>
          <w:rFonts w:ascii="Cambria" w:hAnsi="Cambria" w:cs="Times New Roman"/>
        </w:rPr>
        <w:t>perlu</w:t>
      </w:r>
      <w:proofErr w:type="spellEnd"/>
      <w:r w:rsidRPr="00BE0D55">
        <w:rPr>
          <w:rFonts w:ascii="Cambria" w:hAnsi="Cambria" w:cs="Times New Roman"/>
        </w:rPr>
        <w:t xml:space="preserve"> </w:t>
      </w:r>
      <w:proofErr w:type="spellStart"/>
      <w:r w:rsidRPr="00BE0D55">
        <w:rPr>
          <w:rFonts w:ascii="Cambria" w:hAnsi="Cambria" w:cs="Times New Roman"/>
        </w:rPr>
        <w:t>dilakukan</w:t>
      </w:r>
      <w:proofErr w:type="spellEnd"/>
      <w:r w:rsidRPr="00BE0D55">
        <w:rPr>
          <w:rFonts w:ascii="Cambria" w:hAnsi="Cambria" w:cs="Times New Roman"/>
        </w:rPr>
        <w:t xml:space="preserve"> </w:t>
      </w:r>
      <w:proofErr w:type="spellStart"/>
      <w:r w:rsidRPr="00BE0D55">
        <w:rPr>
          <w:rFonts w:ascii="Cambria" w:hAnsi="Cambria" w:cs="Times New Roman"/>
        </w:rPr>
        <w:t>penelitian</w:t>
      </w:r>
      <w:proofErr w:type="spellEnd"/>
      <w:r w:rsidRPr="00BE0D55">
        <w:rPr>
          <w:rFonts w:ascii="Cambria" w:hAnsi="Cambria" w:cs="Times New Roman"/>
        </w:rPr>
        <w:t xml:space="preserve">. </w:t>
      </w:r>
    </w:p>
    <w:p w14:paraId="79446C88" w14:textId="0A0C95FC" w:rsidR="00090E54" w:rsidRPr="00BE0D55" w:rsidRDefault="00ED34E4" w:rsidP="00090E54">
      <w:pPr>
        <w:spacing w:after="0" w:line="240" w:lineRule="auto"/>
        <w:ind w:firstLine="567"/>
        <w:jc w:val="both"/>
        <w:rPr>
          <w:rFonts w:ascii="Cambria" w:hAnsi="Cambria" w:cs="Times New Roman"/>
        </w:rPr>
      </w:pPr>
      <w:proofErr w:type="spellStart"/>
      <w:r>
        <w:rPr>
          <w:rFonts w:ascii="Cambria" w:hAnsi="Cambria" w:cs="Times New Roman"/>
        </w:rPr>
        <w:t>P</w:t>
      </w:r>
      <w:r w:rsidR="00090E54" w:rsidRPr="00BE0D55">
        <w:rPr>
          <w:rFonts w:ascii="Cambria" w:hAnsi="Cambria" w:cs="Times New Roman"/>
        </w:rPr>
        <w:t>enelitian</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ini</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bertujuan</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untuk</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mendapatkan</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produk</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biskuit</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fungsional</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sebagai</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pangan</w:t>
      </w:r>
      <w:proofErr w:type="spellEnd"/>
      <w:r w:rsidR="00090E54" w:rsidRPr="00BE0D55">
        <w:rPr>
          <w:rFonts w:ascii="Cambria" w:hAnsi="Cambria" w:cs="Times New Roman"/>
        </w:rPr>
        <w:t xml:space="preserve"> alternative </w:t>
      </w:r>
      <w:proofErr w:type="spellStart"/>
      <w:r w:rsidR="00090E54" w:rsidRPr="00BE0D55">
        <w:rPr>
          <w:rFonts w:ascii="Cambria" w:hAnsi="Cambria" w:cs="Times New Roman"/>
        </w:rPr>
        <w:t>untuk</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mencegah</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infeksi</w:t>
      </w:r>
      <w:proofErr w:type="spellEnd"/>
      <w:r w:rsidR="00090E54" w:rsidRPr="00BE0D55">
        <w:rPr>
          <w:rFonts w:ascii="Cambria" w:hAnsi="Cambria" w:cs="Times New Roman"/>
        </w:rPr>
        <w:t xml:space="preserve"> virus korona </w:t>
      </w:r>
      <w:proofErr w:type="spellStart"/>
      <w:r w:rsidR="00090E54" w:rsidRPr="00BE0D55">
        <w:rPr>
          <w:rFonts w:ascii="Cambria" w:hAnsi="Cambria" w:cs="Times New Roman"/>
        </w:rPr>
        <w:t>ataupun</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sebagai</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makanan</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pendamping</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bagi</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pasien</w:t>
      </w:r>
      <w:proofErr w:type="spellEnd"/>
      <w:r w:rsidR="00090E54" w:rsidRPr="00BE0D55">
        <w:rPr>
          <w:rFonts w:ascii="Cambria" w:hAnsi="Cambria" w:cs="Times New Roman"/>
        </w:rPr>
        <w:t xml:space="preserve"> yang </w:t>
      </w:r>
      <w:proofErr w:type="spellStart"/>
      <w:r w:rsidR="00090E54" w:rsidRPr="00BE0D55">
        <w:rPr>
          <w:rFonts w:ascii="Cambria" w:hAnsi="Cambria" w:cs="Times New Roman"/>
        </w:rPr>
        <w:t>terinfeksi</w:t>
      </w:r>
      <w:proofErr w:type="spellEnd"/>
      <w:r w:rsidR="00090E54" w:rsidRPr="00BE0D55">
        <w:rPr>
          <w:rFonts w:ascii="Cambria" w:hAnsi="Cambria" w:cs="Times New Roman"/>
        </w:rPr>
        <w:t xml:space="preserve"> covid-19 </w:t>
      </w:r>
      <w:proofErr w:type="spellStart"/>
      <w:r w:rsidR="00090E54" w:rsidRPr="00BE0D55">
        <w:rPr>
          <w:rFonts w:ascii="Cambria" w:hAnsi="Cambria" w:cs="Times New Roman"/>
        </w:rPr>
        <w:t>sebagai</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upaya</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percepatan</w:t>
      </w:r>
      <w:proofErr w:type="spellEnd"/>
      <w:r w:rsidR="00090E54" w:rsidRPr="00BE0D55">
        <w:rPr>
          <w:rFonts w:ascii="Cambria" w:hAnsi="Cambria" w:cs="Times New Roman"/>
        </w:rPr>
        <w:t xml:space="preserve"> </w:t>
      </w:r>
      <w:proofErr w:type="spellStart"/>
      <w:r w:rsidR="00090E54" w:rsidRPr="00BE0D55">
        <w:rPr>
          <w:rFonts w:ascii="Cambria" w:hAnsi="Cambria" w:cs="Times New Roman"/>
        </w:rPr>
        <w:t>penyembuhan</w:t>
      </w:r>
      <w:proofErr w:type="spellEnd"/>
      <w:r w:rsidR="00090E54" w:rsidRPr="00BE0D55">
        <w:rPr>
          <w:rFonts w:ascii="Cambria" w:hAnsi="Cambria" w:cs="Times New Roman"/>
        </w:rPr>
        <w:t>.</w:t>
      </w:r>
    </w:p>
    <w:p w14:paraId="59E04EF2" w14:textId="77777777" w:rsidR="00C72575" w:rsidRDefault="00C72575" w:rsidP="00090E54">
      <w:pPr>
        <w:spacing w:after="0" w:line="240" w:lineRule="auto"/>
        <w:jc w:val="both"/>
        <w:rPr>
          <w:rFonts w:ascii="Cambria" w:eastAsia="Cambria" w:hAnsi="Cambria" w:cs="Cambria"/>
        </w:rPr>
      </w:pPr>
    </w:p>
    <w:p w14:paraId="0AB399C4" w14:textId="36D8E5E1" w:rsidR="009156D2" w:rsidRPr="00FB1D67" w:rsidRDefault="00FA4AE5" w:rsidP="00FB1D67">
      <w:pPr>
        <w:pStyle w:val="Heading1"/>
        <w:spacing w:before="0" w:after="120" w:line="240" w:lineRule="auto"/>
        <w:rPr>
          <w:rFonts w:ascii="Cambria" w:eastAsia="Cambria" w:hAnsi="Cambria" w:cs="Cambria"/>
          <w:b/>
          <w:color w:val="000000"/>
          <w:sz w:val="28"/>
          <w:szCs w:val="28"/>
        </w:rPr>
      </w:pPr>
      <w:r>
        <w:rPr>
          <w:rFonts w:ascii="Cambria" w:eastAsia="Cambria" w:hAnsi="Cambria" w:cs="Cambria"/>
          <w:b/>
          <w:color w:val="000000"/>
          <w:sz w:val="28"/>
          <w:szCs w:val="28"/>
        </w:rPr>
        <w:t>Metode</w:t>
      </w:r>
    </w:p>
    <w:p w14:paraId="6524D03F" w14:textId="4BA7CD0A" w:rsidR="000677BD" w:rsidRDefault="009156D2">
      <w:pPr>
        <w:spacing w:after="0" w:line="240" w:lineRule="auto"/>
        <w:ind w:firstLine="567"/>
        <w:jc w:val="both"/>
        <w:rPr>
          <w:rFonts w:ascii="Cambria" w:hAnsi="Cambria" w:cs="Times New Roman"/>
          <w:lang w:val="en-ID"/>
        </w:rPr>
      </w:pPr>
      <w:proofErr w:type="spellStart"/>
      <w:r w:rsidRPr="00090E54">
        <w:rPr>
          <w:rFonts w:ascii="Cambria" w:hAnsi="Cambria" w:cs="Times New Roman"/>
          <w:lang w:val="en-ID"/>
        </w:rPr>
        <w:t>Penelitian</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ini</w:t>
      </w:r>
      <w:proofErr w:type="spellEnd"/>
      <w:r w:rsidRPr="00090E54">
        <w:rPr>
          <w:rFonts w:ascii="Cambria" w:hAnsi="Cambria" w:cs="Times New Roman"/>
          <w:lang w:val="en-ID"/>
        </w:rPr>
        <w:t xml:space="preserve"> </w:t>
      </w:r>
      <w:proofErr w:type="spellStart"/>
      <w:r w:rsidR="00ED34E4">
        <w:rPr>
          <w:rFonts w:ascii="Cambria" w:hAnsi="Cambria" w:cs="Times New Roman"/>
          <w:lang w:val="en-ID"/>
        </w:rPr>
        <w:t>merupakan</w:t>
      </w:r>
      <w:proofErr w:type="spellEnd"/>
      <w:r w:rsidR="00ED34E4">
        <w:rPr>
          <w:rFonts w:ascii="Cambria" w:hAnsi="Cambria" w:cs="Times New Roman"/>
          <w:lang w:val="en-ID"/>
        </w:rPr>
        <w:t xml:space="preserve"> </w:t>
      </w:r>
      <w:proofErr w:type="spellStart"/>
      <w:r w:rsidR="00ED34E4">
        <w:rPr>
          <w:rFonts w:ascii="Cambria" w:hAnsi="Cambria" w:cs="Times New Roman"/>
          <w:lang w:val="en-ID"/>
        </w:rPr>
        <w:t>eksperimental</w:t>
      </w:r>
      <w:proofErr w:type="spellEnd"/>
      <w:r w:rsidR="00ED34E4">
        <w:rPr>
          <w:rFonts w:ascii="Cambria" w:hAnsi="Cambria" w:cs="Times New Roman"/>
          <w:lang w:val="en-ID"/>
        </w:rPr>
        <w:t xml:space="preserve"> </w:t>
      </w:r>
      <w:proofErr w:type="spellStart"/>
      <w:r w:rsidR="00ED34E4">
        <w:rPr>
          <w:rFonts w:ascii="Cambria" w:hAnsi="Cambria" w:cs="Times New Roman"/>
          <w:lang w:val="en-ID"/>
        </w:rPr>
        <w:t>dengan</w:t>
      </w:r>
      <w:proofErr w:type="spellEnd"/>
      <w:r w:rsidR="00077540" w:rsidRPr="00090E54">
        <w:rPr>
          <w:rFonts w:ascii="Cambria" w:hAnsi="Cambria" w:cs="Times New Roman"/>
          <w:lang w:val="en-ID"/>
        </w:rPr>
        <w:t xml:space="preserve"> </w:t>
      </w:r>
      <w:proofErr w:type="spellStart"/>
      <w:r w:rsidR="00077540" w:rsidRPr="00090E54">
        <w:rPr>
          <w:rFonts w:ascii="Cambria" w:hAnsi="Cambria" w:cs="Times New Roman"/>
          <w:lang w:val="en-ID"/>
        </w:rPr>
        <w:t>desain</w:t>
      </w:r>
      <w:proofErr w:type="spellEnd"/>
      <w:r w:rsidR="00077540" w:rsidRPr="00090E54">
        <w:rPr>
          <w:rFonts w:ascii="Cambria" w:hAnsi="Cambria" w:cs="Times New Roman"/>
          <w:lang w:val="en-ID"/>
        </w:rPr>
        <w:t xml:space="preserve"> Rancangan Acak </w:t>
      </w:r>
      <w:proofErr w:type="spellStart"/>
      <w:r w:rsidR="00077540" w:rsidRPr="00090E54">
        <w:rPr>
          <w:rFonts w:ascii="Cambria" w:hAnsi="Cambria" w:cs="Times New Roman"/>
          <w:lang w:val="en-ID"/>
        </w:rPr>
        <w:t>Lengkap</w:t>
      </w:r>
      <w:proofErr w:type="spellEnd"/>
      <w:r w:rsidR="00077540" w:rsidRPr="00090E54">
        <w:rPr>
          <w:rFonts w:ascii="Cambria" w:hAnsi="Cambria" w:cs="Times New Roman"/>
          <w:lang w:val="en-ID"/>
        </w:rPr>
        <w:t xml:space="preserve"> (RAL)</w:t>
      </w:r>
      <w:r w:rsidR="00077540">
        <w:rPr>
          <w:rFonts w:ascii="Cambria" w:hAnsi="Cambria" w:cs="Times New Roman"/>
          <w:lang w:val="en-ID"/>
        </w:rPr>
        <w:t xml:space="preserve"> </w:t>
      </w:r>
      <w:proofErr w:type="spellStart"/>
      <w:r w:rsidR="00EB612A">
        <w:rPr>
          <w:rFonts w:ascii="Cambria" w:hAnsi="Cambria" w:cs="Times New Roman"/>
          <w:lang w:val="en-ID"/>
        </w:rPr>
        <w:t>bertempat</w:t>
      </w:r>
      <w:proofErr w:type="spellEnd"/>
      <w:r w:rsidR="00077540" w:rsidRPr="00090E54">
        <w:rPr>
          <w:rFonts w:ascii="Cambria" w:hAnsi="Cambria" w:cs="Times New Roman"/>
          <w:lang w:val="en-ID"/>
        </w:rPr>
        <w:t xml:space="preserve"> </w:t>
      </w:r>
      <w:r w:rsidR="00077540">
        <w:rPr>
          <w:rFonts w:ascii="Cambria" w:hAnsi="Cambria" w:cs="Times New Roman"/>
          <w:lang w:val="en-ID"/>
        </w:rPr>
        <w:t xml:space="preserve">di </w:t>
      </w:r>
      <w:proofErr w:type="spellStart"/>
      <w:r w:rsidR="00077540">
        <w:rPr>
          <w:rFonts w:ascii="Cambria" w:hAnsi="Cambria" w:cs="Times New Roman"/>
          <w:lang w:val="en-ID"/>
        </w:rPr>
        <w:t>Laboratorium</w:t>
      </w:r>
      <w:proofErr w:type="spellEnd"/>
      <w:r w:rsidR="00077540">
        <w:rPr>
          <w:rFonts w:ascii="Cambria" w:hAnsi="Cambria" w:cs="Times New Roman"/>
          <w:lang w:val="en-ID"/>
        </w:rPr>
        <w:t xml:space="preserve"> </w:t>
      </w:r>
      <w:proofErr w:type="spellStart"/>
      <w:r w:rsidR="00077540">
        <w:rPr>
          <w:rFonts w:ascii="Cambria" w:hAnsi="Cambria" w:cs="Times New Roman"/>
          <w:lang w:val="en-ID"/>
        </w:rPr>
        <w:t>Percobaan</w:t>
      </w:r>
      <w:proofErr w:type="spellEnd"/>
      <w:r w:rsidR="00077540">
        <w:rPr>
          <w:rFonts w:ascii="Cambria" w:hAnsi="Cambria" w:cs="Times New Roman"/>
          <w:lang w:val="en-ID"/>
        </w:rPr>
        <w:t xml:space="preserve"> </w:t>
      </w:r>
      <w:proofErr w:type="spellStart"/>
      <w:r w:rsidR="00077540">
        <w:rPr>
          <w:rFonts w:ascii="Cambria" w:hAnsi="Cambria" w:cs="Times New Roman"/>
          <w:lang w:val="en-ID"/>
        </w:rPr>
        <w:t>Makanan</w:t>
      </w:r>
      <w:proofErr w:type="spellEnd"/>
      <w:r w:rsidR="00077540">
        <w:rPr>
          <w:rFonts w:ascii="Cambria" w:hAnsi="Cambria" w:cs="Times New Roman"/>
          <w:lang w:val="en-ID"/>
        </w:rPr>
        <w:t xml:space="preserve"> dan </w:t>
      </w:r>
      <w:proofErr w:type="spellStart"/>
      <w:r w:rsidR="00077540">
        <w:rPr>
          <w:rFonts w:ascii="Cambria" w:hAnsi="Cambria" w:cs="Times New Roman"/>
          <w:lang w:val="en-ID"/>
        </w:rPr>
        <w:t>Laboratorium</w:t>
      </w:r>
      <w:proofErr w:type="spellEnd"/>
      <w:r w:rsidR="00077540">
        <w:rPr>
          <w:rFonts w:ascii="Cambria" w:hAnsi="Cambria" w:cs="Times New Roman"/>
          <w:lang w:val="en-ID"/>
        </w:rPr>
        <w:t xml:space="preserve"> </w:t>
      </w:r>
      <w:proofErr w:type="spellStart"/>
      <w:r w:rsidR="00077540">
        <w:rPr>
          <w:rFonts w:ascii="Cambria" w:hAnsi="Cambria" w:cs="Times New Roman"/>
          <w:lang w:val="en-ID"/>
        </w:rPr>
        <w:t>Sensori</w:t>
      </w:r>
      <w:proofErr w:type="spellEnd"/>
      <w:r w:rsidR="00077540">
        <w:rPr>
          <w:rFonts w:ascii="Cambria" w:hAnsi="Cambria" w:cs="Times New Roman"/>
          <w:lang w:val="en-ID"/>
        </w:rPr>
        <w:t xml:space="preserve"> FKK-UMJ </w:t>
      </w:r>
      <w:r w:rsidR="00077540" w:rsidRPr="00090E54">
        <w:rPr>
          <w:rFonts w:ascii="Cambria" w:hAnsi="Cambria" w:cs="Times New Roman"/>
          <w:lang w:val="en-ID"/>
        </w:rPr>
        <w:t xml:space="preserve">pada </w:t>
      </w:r>
      <w:proofErr w:type="spellStart"/>
      <w:r w:rsidR="00077540" w:rsidRPr="00090E54">
        <w:rPr>
          <w:rFonts w:ascii="Cambria" w:hAnsi="Cambria" w:cs="Times New Roman"/>
          <w:lang w:val="en-ID"/>
        </w:rPr>
        <w:t>bulan</w:t>
      </w:r>
      <w:proofErr w:type="spellEnd"/>
      <w:r w:rsidR="00077540" w:rsidRPr="00090E54">
        <w:rPr>
          <w:rFonts w:ascii="Cambria" w:hAnsi="Cambria" w:cs="Times New Roman"/>
          <w:lang w:val="en-ID"/>
        </w:rPr>
        <w:t xml:space="preserve"> Agustus 2021 </w:t>
      </w:r>
      <w:proofErr w:type="spellStart"/>
      <w:r w:rsidR="00077540" w:rsidRPr="00090E54">
        <w:rPr>
          <w:rFonts w:ascii="Cambria" w:hAnsi="Cambria" w:cs="Times New Roman"/>
          <w:lang w:val="en-ID"/>
        </w:rPr>
        <w:t>hingga</w:t>
      </w:r>
      <w:proofErr w:type="spellEnd"/>
      <w:r w:rsidR="00077540" w:rsidRPr="00090E54">
        <w:rPr>
          <w:rFonts w:ascii="Cambria" w:hAnsi="Cambria" w:cs="Times New Roman"/>
          <w:lang w:val="en-ID"/>
        </w:rPr>
        <w:t xml:space="preserve"> Januari 2022. </w:t>
      </w:r>
      <w:proofErr w:type="spellStart"/>
      <w:r w:rsidR="00077540">
        <w:rPr>
          <w:rFonts w:ascii="Cambria" w:hAnsi="Cambria" w:cs="Times New Roman"/>
          <w:lang w:val="en-ID"/>
        </w:rPr>
        <w:t>P</w:t>
      </w:r>
      <w:r w:rsidR="00090E54">
        <w:rPr>
          <w:rFonts w:ascii="Cambria" w:hAnsi="Cambria" w:cs="Times New Roman"/>
          <w:lang w:val="en-ID"/>
        </w:rPr>
        <w:t>engembangan</w:t>
      </w:r>
      <w:proofErr w:type="spellEnd"/>
      <w:r w:rsidR="00090E54">
        <w:rPr>
          <w:rFonts w:ascii="Cambria" w:hAnsi="Cambria" w:cs="Times New Roman"/>
          <w:lang w:val="en-ID"/>
        </w:rPr>
        <w:t xml:space="preserve"> </w:t>
      </w:r>
      <w:r w:rsidR="00077540">
        <w:rPr>
          <w:rFonts w:ascii="Cambria" w:hAnsi="Cambria" w:cs="Times New Roman"/>
          <w:lang w:val="en-ID"/>
        </w:rPr>
        <w:t xml:space="preserve">formula </w:t>
      </w:r>
      <w:proofErr w:type="spellStart"/>
      <w:r w:rsidR="00090E54">
        <w:rPr>
          <w:rFonts w:ascii="Cambria" w:hAnsi="Cambria" w:cs="Times New Roman"/>
          <w:lang w:val="en-ID"/>
        </w:rPr>
        <w:t>produk</w:t>
      </w:r>
      <w:proofErr w:type="spellEnd"/>
      <w:r w:rsidR="00090E54">
        <w:rPr>
          <w:rFonts w:ascii="Cambria" w:hAnsi="Cambria" w:cs="Times New Roman"/>
          <w:lang w:val="en-ID"/>
        </w:rPr>
        <w:t xml:space="preserve"> </w:t>
      </w:r>
      <w:r w:rsidR="00077540">
        <w:rPr>
          <w:rFonts w:ascii="Cambria" w:hAnsi="Cambria" w:cs="Times New Roman"/>
          <w:lang w:val="en-ID"/>
        </w:rPr>
        <w:t xml:space="preserve">biscuit </w:t>
      </w:r>
      <w:proofErr w:type="spellStart"/>
      <w:r w:rsidR="00077540">
        <w:rPr>
          <w:rFonts w:ascii="Cambria" w:hAnsi="Cambria" w:cs="Times New Roman"/>
          <w:lang w:val="en-ID"/>
        </w:rPr>
        <w:t>rempah</w:t>
      </w:r>
      <w:proofErr w:type="spellEnd"/>
      <w:r w:rsidR="00077540">
        <w:rPr>
          <w:rFonts w:ascii="Cambria" w:hAnsi="Cambria" w:cs="Times New Roman"/>
          <w:lang w:val="en-ID"/>
        </w:rPr>
        <w:t xml:space="preserve"> </w:t>
      </w:r>
      <w:proofErr w:type="spellStart"/>
      <w:r w:rsidR="00077540">
        <w:rPr>
          <w:rFonts w:ascii="Cambria" w:hAnsi="Cambria" w:cs="Times New Roman"/>
          <w:lang w:val="en-ID"/>
        </w:rPr>
        <w:t>dilakukan</w:t>
      </w:r>
      <w:proofErr w:type="spellEnd"/>
      <w:r w:rsidR="00090E54">
        <w:rPr>
          <w:rFonts w:ascii="Cambria" w:hAnsi="Cambria" w:cs="Times New Roman"/>
          <w:lang w:val="en-ID"/>
        </w:rPr>
        <w:t xml:space="preserve"> </w:t>
      </w:r>
      <w:proofErr w:type="spellStart"/>
      <w:r w:rsidR="00090E54">
        <w:rPr>
          <w:rFonts w:ascii="Cambria" w:hAnsi="Cambria" w:cs="Times New Roman"/>
          <w:lang w:val="en-ID"/>
        </w:rPr>
        <w:t>dengan</w:t>
      </w:r>
      <w:proofErr w:type="spellEnd"/>
      <w:r w:rsidR="00077540">
        <w:rPr>
          <w:rFonts w:ascii="Cambria" w:hAnsi="Cambria" w:cs="Times New Roman"/>
          <w:lang w:val="en-ID"/>
        </w:rPr>
        <w:t xml:space="preserve"> </w:t>
      </w:r>
      <w:proofErr w:type="spellStart"/>
      <w:r w:rsidR="00077540">
        <w:rPr>
          <w:rFonts w:ascii="Cambria" w:hAnsi="Cambria" w:cs="Times New Roman"/>
          <w:lang w:val="en-ID"/>
        </w:rPr>
        <w:t>menentukan</w:t>
      </w:r>
      <w:proofErr w:type="spellEnd"/>
      <w:r w:rsidR="00090E54">
        <w:rPr>
          <w:rFonts w:ascii="Cambria" w:hAnsi="Cambria" w:cs="Times New Roman"/>
          <w:lang w:val="en-ID"/>
        </w:rPr>
        <w:t xml:space="preserve"> </w:t>
      </w:r>
      <w:proofErr w:type="spellStart"/>
      <w:r w:rsidR="00090E54">
        <w:rPr>
          <w:rFonts w:ascii="Cambria" w:hAnsi="Cambria" w:cs="Times New Roman"/>
          <w:lang w:val="en-ID"/>
        </w:rPr>
        <w:t>proporsi</w:t>
      </w:r>
      <w:proofErr w:type="spellEnd"/>
      <w:r w:rsidR="00090E54">
        <w:rPr>
          <w:rFonts w:ascii="Cambria" w:hAnsi="Cambria" w:cs="Times New Roman"/>
          <w:lang w:val="en-ID"/>
        </w:rPr>
        <w:t xml:space="preserve"> </w:t>
      </w:r>
      <w:proofErr w:type="spellStart"/>
      <w:r w:rsidR="00090E54">
        <w:rPr>
          <w:rFonts w:ascii="Cambria" w:hAnsi="Cambria" w:cs="Times New Roman"/>
          <w:lang w:val="en-ID"/>
        </w:rPr>
        <w:t>tepung</w:t>
      </w:r>
      <w:proofErr w:type="spellEnd"/>
      <w:r w:rsidR="00090E54">
        <w:rPr>
          <w:rFonts w:ascii="Cambria" w:hAnsi="Cambria" w:cs="Times New Roman"/>
          <w:lang w:val="en-ID"/>
        </w:rPr>
        <w:t xml:space="preserve"> ubi </w:t>
      </w:r>
      <w:proofErr w:type="spellStart"/>
      <w:r w:rsidR="00090E54">
        <w:rPr>
          <w:rFonts w:ascii="Cambria" w:hAnsi="Cambria" w:cs="Times New Roman"/>
          <w:lang w:val="en-ID"/>
        </w:rPr>
        <w:t>ungu</w:t>
      </w:r>
      <w:proofErr w:type="spellEnd"/>
      <w:r w:rsidR="00077540">
        <w:rPr>
          <w:rFonts w:ascii="Cambria" w:hAnsi="Cambria" w:cs="Times New Roman"/>
          <w:lang w:val="en-ID"/>
        </w:rPr>
        <w:t xml:space="preserve"> </w:t>
      </w:r>
      <w:proofErr w:type="spellStart"/>
      <w:r w:rsidR="00077540">
        <w:rPr>
          <w:rFonts w:ascii="Cambria" w:hAnsi="Cambria" w:cs="Times New Roman"/>
          <w:lang w:val="en-ID"/>
        </w:rPr>
        <w:t>terhadap</w:t>
      </w:r>
      <w:proofErr w:type="spellEnd"/>
      <w:r w:rsidR="00077540">
        <w:rPr>
          <w:rFonts w:ascii="Cambria" w:hAnsi="Cambria" w:cs="Times New Roman"/>
          <w:lang w:val="en-ID"/>
        </w:rPr>
        <w:t xml:space="preserve"> </w:t>
      </w:r>
      <w:proofErr w:type="spellStart"/>
      <w:r w:rsidR="00077540">
        <w:rPr>
          <w:rFonts w:ascii="Cambria" w:hAnsi="Cambria" w:cs="Times New Roman"/>
          <w:lang w:val="en-ID"/>
        </w:rPr>
        <w:t>tepung</w:t>
      </w:r>
      <w:proofErr w:type="spellEnd"/>
      <w:r w:rsidR="00077540">
        <w:rPr>
          <w:rFonts w:ascii="Cambria" w:hAnsi="Cambria" w:cs="Times New Roman"/>
          <w:lang w:val="en-ID"/>
        </w:rPr>
        <w:t xml:space="preserve"> </w:t>
      </w:r>
      <w:proofErr w:type="spellStart"/>
      <w:r w:rsidR="00077540">
        <w:rPr>
          <w:rFonts w:ascii="Cambria" w:hAnsi="Cambria" w:cs="Times New Roman"/>
          <w:lang w:val="en-ID"/>
        </w:rPr>
        <w:t>terigu</w:t>
      </w:r>
      <w:proofErr w:type="spellEnd"/>
      <w:r w:rsidRPr="00090E54">
        <w:rPr>
          <w:rFonts w:ascii="Cambria" w:hAnsi="Cambria" w:cs="Times New Roman"/>
          <w:lang w:val="en-ID"/>
        </w:rPr>
        <w:t>.</w:t>
      </w:r>
      <w:r w:rsidR="00090E54">
        <w:rPr>
          <w:rFonts w:ascii="Cambria" w:hAnsi="Cambria" w:cs="Times New Roman"/>
          <w:lang w:val="en-ID"/>
        </w:rPr>
        <w:t xml:space="preserve"> </w:t>
      </w:r>
      <w:proofErr w:type="spellStart"/>
      <w:r w:rsidR="00090E54" w:rsidRPr="00077540">
        <w:rPr>
          <w:rFonts w:ascii="Cambria" w:hAnsi="Cambria" w:cs="Times New Roman"/>
          <w:lang w:val="en-ID"/>
        </w:rPr>
        <w:t>Sementara</w:t>
      </w:r>
      <w:proofErr w:type="spellEnd"/>
      <w:r w:rsidR="00090E54" w:rsidRPr="00077540">
        <w:rPr>
          <w:rFonts w:ascii="Cambria" w:hAnsi="Cambria" w:cs="Times New Roman"/>
          <w:lang w:val="en-ID"/>
        </w:rPr>
        <w:t xml:space="preserve"> </w:t>
      </w:r>
      <w:proofErr w:type="spellStart"/>
      <w:r w:rsidR="00090E54" w:rsidRPr="00077540">
        <w:rPr>
          <w:rFonts w:ascii="Cambria" w:hAnsi="Cambria" w:cs="Times New Roman"/>
          <w:lang w:val="en-ID"/>
        </w:rPr>
        <w:t>itu</w:t>
      </w:r>
      <w:proofErr w:type="spellEnd"/>
      <w:r w:rsidR="00090E54" w:rsidRPr="00077540">
        <w:rPr>
          <w:rFonts w:ascii="Cambria" w:hAnsi="Cambria" w:cs="Times New Roman"/>
          <w:lang w:val="en-ID"/>
        </w:rPr>
        <w:t xml:space="preserve">, </w:t>
      </w:r>
      <w:proofErr w:type="spellStart"/>
      <w:r w:rsidR="00090E54" w:rsidRPr="00077540">
        <w:rPr>
          <w:rFonts w:ascii="Cambria" w:hAnsi="Cambria" w:cs="Times New Roman"/>
          <w:lang w:val="en-ID"/>
        </w:rPr>
        <w:t>bahan</w:t>
      </w:r>
      <w:proofErr w:type="spellEnd"/>
      <w:r w:rsidR="00090E54" w:rsidRPr="00077540">
        <w:rPr>
          <w:rFonts w:ascii="Cambria" w:hAnsi="Cambria" w:cs="Times New Roman"/>
          <w:lang w:val="en-ID"/>
        </w:rPr>
        <w:t xml:space="preserve"> lain </w:t>
      </w:r>
      <w:proofErr w:type="spellStart"/>
      <w:r w:rsidR="00090E54" w:rsidRPr="00077540">
        <w:rPr>
          <w:rFonts w:ascii="Cambria" w:hAnsi="Cambria" w:cs="Times New Roman"/>
          <w:lang w:val="en-ID"/>
        </w:rPr>
        <w:t>seperti</w:t>
      </w:r>
      <w:proofErr w:type="spellEnd"/>
      <w:r w:rsidR="00077540" w:rsidRPr="00077540">
        <w:rPr>
          <w:rFonts w:ascii="Cambria" w:hAnsi="Cambria" w:cs="Times New Roman"/>
          <w:lang w:val="en-ID"/>
        </w:rPr>
        <w:t xml:space="preserve"> </w:t>
      </w:r>
      <w:r w:rsidR="00077540">
        <w:rPr>
          <w:rFonts w:ascii="Cambria" w:hAnsi="Cambria" w:cs="Times New Roman"/>
          <w:lang w:val="en-ID"/>
        </w:rPr>
        <w:t xml:space="preserve">gula, margarin, </w:t>
      </w:r>
      <w:proofErr w:type="spellStart"/>
      <w:r w:rsidR="00077540">
        <w:rPr>
          <w:rFonts w:ascii="Cambria" w:hAnsi="Cambria" w:cs="Times New Roman"/>
          <w:lang w:val="en-ID"/>
        </w:rPr>
        <w:t>telur</w:t>
      </w:r>
      <w:proofErr w:type="spellEnd"/>
      <w:r w:rsidR="00077540">
        <w:rPr>
          <w:rFonts w:ascii="Cambria" w:hAnsi="Cambria" w:cs="Times New Roman"/>
          <w:lang w:val="en-ID"/>
        </w:rPr>
        <w:t xml:space="preserve"> dan </w:t>
      </w:r>
      <w:proofErr w:type="spellStart"/>
      <w:r w:rsidR="00077540" w:rsidRPr="00077540">
        <w:rPr>
          <w:rFonts w:ascii="Cambria" w:hAnsi="Cambria" w:cs="Times New Roman"/>
          <w:lang w:val="en-ID"/>
        </w:rPr>
        <w:t>rempah-rempah</w:t>
      </w:r>
      <w:proofErr w:type="spellEnd"/>
      <w:r w:rsidR="00077540" w:rsidRPr="00077540">
        <w:rPr>
          <w:rFonts w:ascii="Cambria" w:hAnsi="Cambria" w:cs="Times New Roman"/>
          <w:lang w:val="en-ID"/>
        </w:rPr>
        <w:t xml:space="preserve"> yang </w:t>
      </w:r>
      <w:proofErr w:type="spellStart"/>
      <w:r w:rsidR="00077540" w:rsidRPr="00077540">
        <w:rPr>
          <w:rFonts w:ascii="Cambria" w:hAnsi="Cambria" w:cs="Times New Roman"/>
          <w:lang w:val="en-ID"/>
        </w:rPr>
        <w:t>terdiri</w:t>
      </w:r>
      <w:proofErr w:type="spellEnd"/>
      <w:r w:rsidR="00077540" w:rsidRPr="00077540">
        <w:rPr>
          <w:rFonts w:ascii="Cambria" w:hAnsi="Cambria" w:cs="Times New Roman"/>
          <w:lang w:val="en-ID"/>
        </w:rPr>
        <w:t xml:space="preserve"> </w:t>
      </w:r>
      <w:proofErr w:type="spellStart"/>
      <w:r w:rsidR="00077540" w:rsidRPr="00077540">
        <w:rPr>
          <w:rFonts w:ascii="Cambria" w:hAnsi="Cambria" w:cs="Times New Roman"/>
          <w:lang w:val="en-ID"/>
        </w:rPr>
        <w:t>dari</w:t>
      </w:r>
      <w:proofErr w:type="spellEnd"/>
      <w:r w:rsidR="00077540" w:rsidRPr="00077540">
        <w:rPr>
          <w:rFonts w:ascii="Cambria" w:hAnsi="Cambria" w:cs="Times New Roman"/>
          <w:lang w:val="en-ID"/>
        </w:rPr>
        <w:t xml:space="preserve">: </w:t>
      </w:r>
      <w:proofErr w:type="spellStart"/>
      <w:r w:rsidR="00090E54" w:rsidRPr="00077540">
        <w:rPr>
          <w:rFonts w:ascii="Cambria" w:hAnsi="Cambria"/>
        </w:rPr>
        <w:t>jahe</w:t>
      </w:r>
      <w:proofErr w:type="spellEnd"/>
      <w:r w:rsidR="00090E54" w:rsidRPr="00077540">
        <w:rPr>
          <w:rFonts w:ascii="Cambria" w:hAnsi="Cambria"/>
        </w:rPr>
        <w:t xml:space="preserve">, </w:t>
      </w:r>
      <w:proofErr w:type="spellStart"/>
      <w:r w:rsidR="00090E54" w:rsidRPr="00077540">
        <w:rPr>
          <w:rFonts w:ascii="Cambria" w:hAnsi="Cambria"/>
        </w:rPr>
        <w:t>kayumanis</w:t>
      </w:r>
      <w:proofErr w:type="spellEnd"/>
      <w:r w:rsidR="00090E54" w:rsidRPr="00077540">
        <w:rPr>
          <w:rFonts w:ascii="Cambria" w:hAnsi="Cambria"/>
        </w:rPr>
        <w:t xml:space="preserve">, </w:t>
      </w:r>
      <w:proofErr w:type="spellStart"/>
      <w:r w:rsidR="00090E54" w:rsidRPr="00077540">
        <w:rPr>
          <w:rFonts w:ascii="Cambria" w:hAnsi="Cambria"/>
        </w:rPr>
        <w:t>kunyit</w:t>
      </w:r>
      <w:proofErr w:type="spellEnd"/>
      <w:r w:rsidR="00090E54" w:rsidRPr="00077540">
        <w:rPr>
          <w:rFonts w:ascii="Cambria" w:hAnsi="Cambria"/>
        </w:rPr>
        <w:t xml:space="preserve">, </w:t>
      </w:r>
      <w:proofErr w:type="spellStart"/>
      <w:r w:rsidR="00090E54" w:rsidRPr="00077540">
        <w:rPr>
          <w:rFonts w:ascii="Cambria" w:hAnsi="Cambria"/>
        </w:rPr>
        <w:t>kencur</w:t>
      </w:r>
      <w:proofErr w:type="spellEnd"/>
      <w:r w:rsidR="00090E54" w:rsidRPr="00077540">
        <w:rPr>
          <w:rFonts w:ascii="Cambria" w:hAnsi="Cambria"/>
        </w:rPr>
        <w:t xml:space="preserve">, sereh, </w:t>
      </w:r>
      <w:proofErr w:type="spellStart"/>
      <w:r w:rsidR="00090E54" w:rsidRPr="00077540">
        <w:rPr>
          <w:rFonts w:ascii="Cambria" w:hAnsi="Cambria"/>
        </w:rPr>
        <w:t>temulawak</w:t>
      </w:r>
      <w:proofErr w:type="spellEnd"/>
      <w:r w:rsidR="00090E54" w:rsidRPr="00077540">
        <w:rPr>
          <w:rFonts w:ascii="Cambria" w:hAnsi="Cambria"/>
        </w:rPr>
        <w:t xml:space="preserve"> dan </w:t>
      </w:r>
      <w:proofErr w:type="spellStart"/>
      <w:r w:rsidR="00090E54" w:rsidRPr="00077540">
        <w:rPr>
          <w:rFonts w:ascii="Cambria" w:hAnsi="Cambria"/>
        </w:rPr>
        <w:t>cengkeh</w:t>
      </w:r>
      <w:proofErr w:type="spellEnd"/>
      <w:r w:rsidR="00090E54" w:rsidRPr="00077540">
        <w:rPr>
          <w:rFonts w:ascii="Cambria" w:hAnsi="Cambria"/>
        </w:rPr>
        <w:t xml:space="preserve"> </w:t>
      </w:r>
      <w:proofErr w:type="spellStart"/>
      <w:r w:rsidR="00090E54" w:rsidRPr="00077540">
        <w:rPr>
          <w:rFonts w:ascii="Cambria" w:hAnsi="Cambria"/>
        </w:rPr>
        <w:t>diberikan</w:t>
      </w:r>
      <w:proofErr w:type="spellEnd"/>
      <w:r w:rsidR="00090E54" w:rsidRPr="00077540">
        <w:rPr>
          <w:rFonts w:ascii="Cambria" w:hAnsi="Cambria"/>
        </w:rPr>
        <w:t xml:space="preserve"> </w:t>
      </w:r>
      <w:proofErr w:type="spellStart"/>
      <w:r w:rsidR="00090E54" w:rsidRPr="00077540">
        <w:rPr>
          <w:rFonts w:ascii="Cambria" w:hAnsi="Cambria"/>
        </w:rPr>
        <w:t>dalam</w:t>
      </w:r>
      <w:proofErr w:type="spellEnd"/>
      <w:r w:rsidR="00090E54" w:rsidRPr="00077540">
        <w:rPr>
          <w:rFonts w:ascii="Cambria" w:hAnsi="Cambria"/>
        </w:rPr>
        <w:t xml:space="preserve"> </w:t>
      </w:r>
      <w:proofErr w:type="spellStart"/>
      <w:r w:rsidR="00090E54" w:rsidRPr="00077540">
        <w:rPr>
          <w:rFonts w:ascii="Cambria" w:hAnsi="Cambria"/>
        </w:rPr>
        <w:t>bentuk</w:t>
      </w:r>
      <w:proofErr w:type="spellEnd"/>
      <w:r w:rsidR="00090E54" w:rsidRPr="00077540">
        <w:rPr>
          <w:rFonts w:ascii="Cambria" w:hAnsi="Cambria"/>
        </w:rPr>
        <w:t xml:space="preserve"> </w:t>
      </w:r>
      <w:proofErr w:type="spellStart"/>
      <w:r w:rsidR="00090E54" w:rsidRPr="00077540">
        <w:rPr>
          <w:rFonts w:ascii="Cambria" w:hAnsi="Cambria"/>
        </w:rPr>
        <w:t>bubuk</w:t>
      </w:r>
      <w:proofErr w:type="spellEnd"/>
      <w:r w:rsidR="00090E54" w:rsidRPr="00077540">
        <w:rPr>
          <w:rFonts w:ascii="Cambria" w:hAnsi="Cambria"/>
        </w:rPr>
        <w:t xml:space="preserve"> </w:t>
      </w:r>
      <w:proofErr w:type="spellStart"/>
      <w:r w:rsidR="00090E54" w:rsidRPr="00077540">
        <w:rPr>
          <w:rFonts w:ascii="Cambria" w:hAnsi="Cambria"/>
        </w:rPr>
        <w:t>dengan</w:t>
      </w:r>
      <w:proofErr w:type="spellEnd"/>
      <w:r w:rsidR="00090E54" w:rsidRPr="00077540">
        <w:rPr>
          <w:rFonts w:ascii="Cambria" w:hAnsi="Cambria"/>
        </w:rPr>
        <w:t xml:space="preserve"> </w:t>
      </w:r>
      <w:proofErr w:type="spellStart"/>
      <w:r w:rsidR="00090E54" w:rsidRPr="00077540">
        <w:rPr>
          <w:rFonts w:ascii="Cambria" w:hAnsi="Cambria"/>
        </w:rPr>
        <w:t>jumlah</w:t>
      </w:r>
      <w:proofErr w:type="spellEnd"/>
      <w:r w:rsidR="00090E54" w:rsidRPr="00077540">
        <w:rPr>
          <w:rFonts w:ascii="Cambria" w:hAnsi="Cambria"/>
        </w:rPr>
        <w:t xml:space="preserve"> yang </w:t>
      </w:r>
      <w:proofErr w:type="spellStart"/>
      <w:r w:rsidR="00090E54" w:rsidRPr="00077540">
        <w:rPr>
          <w:rFonts w:ascii="Cambria" w:hAnsi="Cambria"/>
        </w:rPr>
        <w:t>sama</w:t>
      </w:r>
      <w:proofErr w:type="spellEnd"/>
      <w:r w:rsidR="00090E54" w:rsidRPr="00077540">
        <w:rPr>
          <w:rFonts w:ascii="Cambria" w:hAnsi="Cambria"/>
        </w:rPr>
        <w:t xml:space="preserve"> pada </w:t>
      </w:r>
      <w:proofErr w:type="spellStart"/>
      <w:r w:rsidR="00090E54" w:rsidRPr="00077540">
        <w:rPr>
          <w:rFonts w:ascii="Cambria" w:hAnsi="Cambria"/>
        </w:rPr>
        <w:t>setiap</w:t>
      </w:r>
      <w:proofErr w:type="spellEnd"/>
      <w:r w:rsidR="00090E54" w:rsidRPr="00077540">
        <w:rPr>
          <w:rFonts w:ascii="Cambria" w:hAnsi="Cambria"/>
        </w:rPr>
        <w:t xml:space="preserve"> formula</w:t>
      </w:r>
      <w:r w:rsidR="00090E54">
        <w:rPr>
          <w:rFonts w:ascii="Cambria" w:hAnsi="Cambria"/>
          <w:sz w:val="20"/>
          <w:szCs w:val="20"/>
        </w:rPr>
        <w:t>.</w:t>
      </w:r>
      <w:r w:rsidR="00090E54" w:rsidRPr="00090E54">
        <w:rPr>
          <w:rFonts w:ascii="Cambria" w:hAnsi="Cambria" w:cs="Times New Roman"/>
          <w:lang w:val="en-ID"/>
        </w:rPr>
        <w:t xml:space="preserve"> </w:t>
      </w:r>
    </w:p>
    <w:p w14:paraId="5F07E4E3" w14:textId="2229EA70" w:rsidR="009156D2" w:rsidRDefault="009156D2">
      <w:pPr>
        <w:spacing w:after="0" w:line="240" w:lineRule="auto"/>
        <w:ind w:firstLine="567"/>
        <w:jc w:val="both"/>
        <w:rPr>
          <w:rFonts w:ascii="Cambria" w:hAnsi="Cambria"/>
        </w:rPr>
      </w:pPr>
      <w:proofErr w:type="spellStart"/>
      <w:r w:rsidRPr="00090E54">
        <w:rPr>
          <w:rFonts w:ascii="Cambria" w:hAnsi="Cambria" w:cs="Times New Roman"/>
          <w:lang w:val="en-ID"/>
        </w:rPr>
        <w:lastRenderedPageBreak/>
        <w:t>Tahapan</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penelitian</w:t>
      </w:r>
      <w:proofErr w:type="spellEnd"/>
      <w:r w:rsidRPr="00090E54">
        <w:rPr>
          <w:rFonts w:ascii="Cambria" w:hAnsi="Cambria" w:cs="Times New Roman"/>
          <w:lang w:val="en-ID"/>
        </w:rPr>
        <w:t xml:space="preserve"> </w:t>
      </w:r>
      <w:proofErr w:type="spellStart"/>
      <w:r w:rsidR="00077540">
        <w:rPr>
          <w:rFonts w:ascii="Cambria" w:hAnsi="Cambria" w:cs="Times New Roman"/>
          <w:lang w:val="en-ID"/>
        </w:rPr>
        <w:t>terdiri</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dari</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formula</w:t>
      </w:r>
      <w:r w:rsidR="00077540">
        <w:rPr>
          <w:rFonts w:ascii="Cambria" w:hAnsi="Cambria" w:cs="Times New Roman"/>
          <w:lang w:val="en-ID"/>
        </w:rPr>
        <w:t>si</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biskuit</w:t>
      </w:r>
      <w:proofErr w:type="spellEnd"/>
      <w:r w:rsidRPr="00090E54">
        <w:rPr>
          <w:rFonts w:ascii="Cambria" w:hAnsi="Cambria" w:cs="Times New Roman"/>
          <w:lang w:val="en-ID"/>
        </w:rPr>
        <w:t xml:space="preserve">, uji </w:t>
      </w:r>
      <w:proofErr w:type="spellStart"/>
      <w:r w:rsidRPr="00090E54">
        <w:rPr>
          <w:rFonts w:ascii="Cambria" w:hAnsi="Cambria" w:cs="Times New Roman"/>
          <w:lang w:val="en-ID"/>
        </w:rPr>
        <w:t>organoleptik</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analisis</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kandungan</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gizi</w:t>
      </w:r>
      <w:proofErr w:type="spellEnd"/>
      <w:r w:rsidR="00077540">
        <w:rPr>
          <w:rFonts w:ascii="Cambria" w:hAnsi="Cambria" w:cs="Times New Roman"/>
          <w:lang w:val="en-ID"/>
        </w:rPr>
        <w:t xml:space="preserve"> </w:t>
      </w:r>
      <w:r w:rsidRPr="00090E54">
        <w:rPr>
          <w:rFonts w:ascii="Cambria" w:hAnsi="Cambria" w:cs="Times New Roman"/>
          <w:lang w:val="en-ID"/>
        </w:rPr>
        <w:t xml:space="preserve">dan uji </w:t>
      </w:r>
      <w:proofErr w:type="spellStart"/>
      <w:r w:rsidR="00077540">
        <w:rPr>
          <w:rFonts w:ascii="Cambria" w:hAnsi="Cambria" w:cs="Times New Roman"/>
          <w:lang w:val="en-ID"/>
        </w:rPr>
        <w:t>kandungan</w:t>
      </w:r>
      <w:proofErr w:type="spellEnd"/>
      <w:r w:rsidR="00077540">
        <w:rPr>
          <w:rFonts w:ascii="Cambria" w:hAnsi="Cambria" w:cs="Times New Roman"/>
          <w:lang w:val="en-ID"/>
        </w:rPr>
        <w:t xml:space="preserve"> </w:t>
      </w:r>
      <w:proofErr w:type="spellStart"/>
      <w:r w:rsidRPr="00090E54">
        <w:rPr>
          <w:rFonts w:ascii="Cambria" w:hAnsi="Cambria" w:cs="Times New Roman"/>
          <w:lang w:val="en-ID"/>
        </w:rPr>
        <w:t>antioksidan</w:t>
      </w:r>
      <w:proofErr w:type="spellEnd"/>
      <w:r w:rsidRPr="00090E54">
        <w:rPr>
          <w:rFonts w:ascii="Cambria" w:hAnsi="Cambria" w:cs="Times New Roman"/>
          <w:lang w:val="en-ID"/>
        </w:rPr>
        <w:t xml:space="preserve">. </w:t>
      </w:r>
      <w:proofErr w:type="spellStart"/>
      <w:r w:rsidR="000677BD">
        <w:rPr>
          <w:rFonts w:ascii="Cambria" w:hAnsi="Cambria" w:cs="Times New Roman"/>
          <w:lang w:val="en-ID"/>
        </w:rPr>
        <w:t>Pembuatan</w:t>
      </w:r>
      <w:proofErr w:type="spellEnd"/>
      <w:r w:rsidR="000677BD">
        <w:rPr>
          <w:rFonts w:ascii="Cambria" w:hAnsi="Cambria" w:cs="Times New Roman"/>
          <w:lang w:val="en-ID"/>
        </w:rPr>
        <w:t xml:space="preserve"> formula </w:t>
      </w:r>
      <w:proofErr w:type="spellStart"/>
      <w:r w:rsidR="000677BD">
        <w:rPr>
          <w:rFonts w:ascii="Cambria" w:hAnsi="Cambria" w:cs="Times New Roman"/>
          <w:lang w:val="en-ID"/>
        </w:rPr>
        <w:t>dilakukan</w:t>
      </w:r>
      <w:proofErr w:type="spellEnd"/>
      <w:r w:rsidRPr="00090E54">
        <w:rPr>
          <w:rFonts w:ascii="Cambria" w:hAnsi="Cambria" w:cs="Times New Roman"/>
          <w:lang w:val="en-ID"/>
        </w:rPr>
        <w:t xml:space="preserve"> </w:t>
      </w:r>
      <w:r w:rsidR="000677BD">
        <w:rPr>
          <w:rFonts w:ascii="Cambria" w:hAnsi="Cambria" w:cs="Times New Roman"/>
          <w:color w:val="000000" w:themeColor="text1"/>
          <w:lang w:val="en-ID"/>
        </w:rPr>
        <w:t>di</w:t>
      </w:r>
      <w:r w:rsidRPr="00090E54">
        <w:rPr>
          <w:rFonts w:ascii="Cambria" w:hAnsi="Cambria" w:cs="Times New Roman"/>
          <w:color w:val="000000" w:themeColor="text1"/>
          <w:lang w:val="en-ID"/>
        </w:rPr>
        <w:t xml:space="preserve"> </w:t>
      </w:r>
      <w:proofErr w:type="spellStart"/>
      <w:r w:rsidRPr="00090E54">
        <w:rPr>
          <w:rFonts w:ascii="Cambria" w:hAnsi="Cambria" w:cs="Times New Roman"/>
          <w:color w:val="000000" w:themeColor="text1"/>
          <w:lang w:val="en-ID"/>
        </w:rPr>
        <w:t>Laboratorium</w:t>
      </w:r>
      <w:proofErr w:type="spellEnd"/>
      <w:r w:rsidRPr="00090E54">
        <w:rPr>
          <w:rFonts w:ascii="Cambria" w:hAnsi="Cambria" w:cs="Times New Roman"/>
          <w:color w:val="000000" w:themeColor="text1"/>
          <w:lang w:val="en-ID"/>
        </w:rPr>
        <w:t xml:space="preserve"> </w:t>
      </w:r>
      <w:proofErr w:type="spellStart"/>
      <w:r w:rsidRPr="00090E54">
        <w:rPr>
          <w:rFonts w:ascii="Cambria" w:hAnsi="Cambria" w:cs="Times New Roman"/>
          <w:color w:val="000000" w:themeColor="text1"/>
          <w:lang w:val="en-ID"/>
        </w:rPr>
        <w:t>Percobaan</w:t>
      </w:r>
      <w:proofErr w:type="spellEnd"/>
      <w:r w:rsidRPr="00090E54">
        <w:rPr>
          <w:rFonts w:ascii="Cambria" w:hAnsi="Cambria" w:cs="Times New Roman"/>
          <w:color w:val="000000" w:themeColor="text1"/>
          <w:lang w:val="en-ID"/>
        </w:rPr>
        <w:t xml:space="preserve"> </w:t>
      </w:r>
      <w:proofErr w:type="spellStart"/>
      <w:r w:rsidRPr="00090E54">
        <w:rPr>
          <w:rFonts w:ascii="Cambria" w:hAnsi="Cambria" w:cs="Times New Roman"/>
          <w:color w:val="000000" w:themeColor="text1"/>
          <w:lang w:val="en-ID"/>
        </w:rPr>
        <w:t>Makanan</w:t>
      </w:r>
      <w:proofErr w:type="spellEnd"/>
      <w:r w:rsidRPr="00090E54">
        <w:rPr>
          <w:rFonts w:ascii="Cambria" w:hAnsi="Cambria" w:cs="Times New Roman"/>
          <w:color w:val="000000" w:themeColor="text1"/>
          <w:lang w:val="en-ID"/>
        </w:rPr>
        <w:t xml:space="preserve"> </w:t>
      </w:r>
      <w:proofErr w:type="spellStart"/>
      <w:r w:rsidRPr="00090E54">
        <w:rPr>
          <w:rFonts w:ascii="Cambria" w:hAnsi="Cambria" w:cs="Times New Roman"/>
          <w:color w:val="000000" w:themeColor="text1"/>
          <w:lang w:val="en-ID"/>
        </w:rPr>
        <w:t>Fakultas</w:t>
      </w:r>
      <w:proofErr w:type="spellEnd"/>
      <w:r w:rsidRPr="00090E54">
        <w:rPr>
          <w:rFonts w:ascii="Cambria" w:hAnsi="Cambria" w:cs="Times New Roman"/>
          <w:color w:val="000000" w:themeColor="text1"/>
          <w:lang w:val="en-ID"/>
        </w:rPr>
        <w:t xml:space="preserve"> </w:t>
      </w:r>
      <w:proofErr w:type="spellStart"/>
      <w:r w:rsidRPr="00090E54">
        <w:rPr>
          <w:rFonts w:ascii="Cambria" w:hAnsi="Cambria" w:cs="Times New Roman"/>
          <w:color w:val="000000" w:themeColor="text1"/>
          <w:lang w:val="en-ID"/>
        </w:rPr>
        <w:t>Kedokteran</w:t>
      </w:r>
      <w:proofErr w:type="spellEnd"/>
      <w:r w:rsidRPr="00090E54">
        <w:rPr>
          <w:rFonts w:ascii="Cambria" w:hAnsi="Cambria" w:cs="Times New Roman"/>
          <w:color w:val="000000" w:themeColor="text1"/>
          <w:lang w:val="en-ID"/>
        </w:rPr>
        <w:t xml:space="preserve"> dan Kesehatan Universitas Muhammadiyah Jakarta</w:t>
      </w:r>
      <w:r w:rsidR="000677BD">
        <w:rPr>
          <w:rFonts w:ascii="Cambria" w:hAnsi="Cambria" w:cs="Times New Roman"/>
          <w:color w:val="000000" w:themeColor="text1"/>
          <w:lang w:val="en-ID"/>
        </w:rPr>
        <w:t xml:space="preserve">. </w:t>
      </w:r>
      <w:r w:rsidR="000677BD" w:rsidRPr="004B19A3">
        <w:rPr>
          <w:rFonts w:ascii="Cambria" w:hAnsi="Cambria" w:cs="Times New Roman"/>
          <w:color w:val="000000" w:themeColor="text1"/>
          <w:lang w:val="en-ID"/>
        </w:rPr>
        <w:t xml:space="preserve">Uji organoleptic </w:t>
      </w:r>
      <w:proofErr w:type="spellStart"/>
      <w:r w:rsidR="000677BD" w:rsidRPr="004B19A3">
        <w:rPr>
          <w:rFonts w:ascii="Cambria" w:hAnsi="Cambria" w:cs="Times New Roman"/>
          <w:color w:val="000000" w:themeColor="text1"/>
          <w:lang w:val="en-ID"/>
        </w:rPr>
        <w:t>dilakukan</w:t>
      </w:r>
      <w:proofErr w:type="spellEnd"/>
      <w:r w:rsidR="000677BD" w:rsidRPr="004B19A3">
        <w:rPr>
          <w:rFonts w:ascii="Cambria" w:hAnsi="Cambria" w:cs="Times New Roman"/>
          <w:color w:val="000000" w:themeColor="text1"/>
          <w:lang w:val="en-ID"/>
        </w:rPr>
        <w:t xml:space="preserve"> di </w:t>
      </w:r>
      <w:proofErr w:type="spellStart"/>
      <w:r w:rsidR="000677BD" w:rsidRPr="004B19A3">
        <w:rPr>
          <w:rFonts w:ascii="Cambria" w:hAnsi="Cambria" w:cs="Times New Roman"/>
          <w:color w:val="000000" w:themeColor="text1"/>
          <w:lang w:val="en-ID"/>
        </w:rPr>
        <w:t>Laboratorium</w:t>
      </w:r>
      <w:proofErr w:type="spellEnd"/>
      <w:r w:rsidR="000677BD" w:rsidRPr="004B19A3">
        <w:rPr>
          <w:rFonts w:ascii="Cambria" w:hAnsi="Cambria" w:cs="Times New Roman"/>
          <w:color w:val="000000" w:themeColor="text1"/>
          <w:lang w:val="en-ID"/>
        </w:rPr>
        <w:t xml:space="preserve"> </w:t>
      </w:r>
      <w:proofErr w:type="spellStart"/>
      <w:r w:rsidR="000677BD" w:rsidRPr="004B19A3">
        <w:rPr>
          <w:rFonts w:ascii="Cambria" w:hAnsi="Cambria" w:cs="Times New Roman"/>
          <w:color w:val="000000" w:themeColor="text1"/>
          <w:lang w:val="en-ID"/>
        </w:rPr>
        <w:t>Sensori</w:t>
      </w:r>
      <w:proofErr w:type="spellEnd"/>
      <w:r w:rsidR="000677BD" w:rsidRPr="004B19A3">
        <w:rPr>
          <w:rFonts w:ascii="Cambria" w:hAnsi="Cambria" w:cs="Times New Roman"/>
          <w:color w:val="000000" w:themeColor="text1"/>
          <w:lang w:val="en-ID"/>
        </w:rPr>
        <w:t xml:space="preserve"> </w:t>
      </w:r>
      <w:proofErr w:type="spellStart"/>
      <w:r w:rsidR="000677BD" w:rsidRPr="004B19A3">
        <w:rPr>
          <w:rFonts w:ascii="Cambria" w:hAnsi="Cambria" w:cs="Times New Roman"/>
          <w:color w:val="000000" w:themeColor="text1"/>
          <w:lang w:val="en-ID"/>
        </w:rPr>
        <w:t>Fakultas</w:t>
      </w:r>
      <w:proofErr w:type="spellEnd"/>
      <w:r w:rsidR="000677BD" w:rsidRPr="004B19A3">
        <w:rPr>
          <w:rFonts w:ascii="Cambria" w:hAnsi="Cambria" w:cs="Times New Roman"/>
          <w:color w:val="000000" w:themeColor="text1"/>
          <w:lang w:val="en-ID"/>
        </w:rPr>
        <w:t xml:space="preserve"> </w:t>
      </w:r>
      <w:proofErr w:type="spellStart"/>
      <w:r w:rsidR="000677BD" w:rsidRPr="004B19A3">
        <w:rPr>
          <w:rFonts w:ascii="Cambria" w:hAnsi="Cambria" w:cs="Times New Roman"/>
          <w:color w:val="000000" w:themeColor="text1"/>
          <w:lang w:val="en-ID"/>
        </w:rPr>
        <w:t>Kedokteran</w:t>
      </w:r>
      <w:proofErr w:type="spellEnd"/>
      <w:r w:rsidR="000677BD" w:rsidRPr="004B19A3">
        <w:rPr>
          <w:rFonts w:ascii="Cambria" w:hAnsi="Cambria" w:cs="Times New Roman"/>
          <w:color w:val="000000" w:themeColor="text1"/>
          <w:lang w:val="en-ID"/>
        </w:rPr>
        <w:t xml:space="preserve"> dan Kesehatan Universitas Muhammadiyah Jakarta. </w:t>
      </w:r>
      <w:r w:rsidR="000677BD" w:rsidRPr="00A46712">
        <w:rPr>
          <w:rFonts w:ascii="Cambria" w:hAnsi="Cambria" w:cs="Times New Roman"/>
          <w:color w:val="000000" w:themeColor="text1"/>
          <w:lang w:val="en-ID"/>
        </w:rPr>
        <w:t xml:space="preserve">Uji </w:t>
      </w:r>
      <w:proofErr w:type="spellStart"/>
      <w:r w:rsidR="000677BD" w:rsidRPr="00A46712">
        <w:rPr>
          <w:rFonts w:ascii="Cambria" w:hAnsi="Cambria" w:cs="Times New Roman"/>
          <w:color w:val="000000" w:themeColor="text1"/>
          <w:lang w:val="en-ID"/>
        </w:rPr>
        <w:t>proksimat</w:t>
      </w:r>
      <w:proofErr w:type="spellEnd"/>
      <w:r w:rsidR="000677BD" w:rsidRPr="00A46712">
        <w:rPr>
          <w:rFonts w:ascii="Cambria" w:hAnsi="Cambria" w:cs="Times New Roman"/>
          <w:color w:val="000000" w:themeColor="text1"/>
          <w:lang w:val="en-ID"/>
        </w:rPr>
        <w:t xml:space="preserve"> dan </w:t>
      </w:r>
      <w:proofErr w:type="spellStart"/>
      <w:r w:rsidR="000677BD" w:rsidRPr="00A46712">
        <w:rPr>
          <w:rFonts w:ascii="Cambria" w:hAnsi="Cambria" w:cs="Times New Roman"/>
          <w:color w:val="000000" w:themeColor="text1"/>
          <w:lang w:val="en-ID"/>
        </w:rPr>
        <w:t>kandungan</w:t>
      </w:r>
      <w:proofErr w:type="spellEnd"/>
      <w:r w:rsidR="000677BD" w:rsidRPr="00A46712">
        <w:rPr>
          <w:rFonts w:ascii="Cambria" w:hAnsi="Cambria" w:cs="Times New Roman"/>
          <w:color w:val="000000" w:themeColor="text1"/>
          <w:lang w:val="en-ID"/>
        </w:rPr>
        <w:t xml:space="preserve"> </w:t>
      </w:r>
      <w:proofErr w:type="spellStart"/>
      <w:r w:rsidR="000677BD" w:rsidRPr="00A46712">
        <w:rPr>
          <w:rFonts w:ascii="Cambria" w:hAnsi="Cambria" w:cs="Times New Roman"/>
          <w:color w:val="000000" w:themeColor="text1"/>
          <w:lang w:val="en-ID"/>
        </w:rPr>
        <w:t>antioksidan</w:t>
      </w:r>
      <w:proofErr w:type="spellEnd"/>
      <w:r w:rsidR="000677BD" w:rsidRPr="00A46712">
        <w:rPr>
          <w:rFonts w:ascii="Cambria" w:hAnsi="Cambria" w:cs="Times New Roman"/>
          <w:color w:val="000000" w:themeColor="text1"/>
          <w:lang w:val="en-ID"/>
        </w:rPr>
        <w:t xml:space="preserve"> </w:t>
      </w:r>
      <w:proofErr w:type="spellStart"/>
      <w:r w:rsidR="000677BD" w:rsidRPr="00A46712">
        <w:rPr>
          <w:rFonts w:ascii="Cambria" w:hAnsi="Cambria" w:cs="Times New Roman"/>
          <w:color w:val="000000" w:themeColor="text1"/>
          <w:lang w:val="en-ID"/>
        </w:rPr>
        <w:t>dilakukan</w:t>
      </w:r>
      <w:proofErr w:type="spellEnd"/>
      <w:r w:rsidR="000677BD" w:rsidRPr="00A46712">
        <w:rPr>
          <w:rFonts w:ascii="Cambria" w:hAnsi="Cambria" w:cs="Times New Roman"/>
          <w:color w:val="000000" w:themeColor="text1"/>
          <w:lang w:val="en-ID"/>
        </w:rPr>
        <w:t xml:space="preserve"> di</w:t>
      </w:r>
      <w:r w:rsidRPr="00A46712">
        <w:rPr>
          <w:rFonts w:ascii="Cambria" w:hAnsi="Cambria" w:cs="Times New Roman"/>
          <w:color w:val="000000" w:themeColor="text1"/>
          <w:lang w:val="en-ID"/>
        </w:rPr>
        <w:t xml:space="preserve"> </w:t>
      </w:r>
      <w:proofErr w:type="spellStart"/>
      <w:r w:rsidR="00A46712" w:rsidRPr="00A46712">
        <w:rPr>
          <w:rFonts w:ascii="Cambria" w:hAnsi="Cambria" w:cs="Times New Roman"/>
          <w:color w:val="000000" w:themeColor="text1"/>
          <w:lang w:val="en-ID"/>
        </w:rPr>
        <w:t>Laboratorium</w:t>
      </w:r>
      <w:proofErr w:type="spellEnd"/>
      <w:r w:rsidR="00A46712" w:rsidRPr="00A46712">
        <w:rPr>
          <w:rFonts w:ascii="Cambria" w:hAnsi="Cambria" w:cs="Times New Roman"/>
          <w:color w:val="000000" w:themeColor="text1"/>
          <w:lang w:val="en-ID"/>
        </w:rPr>
        <w:t xml:space="preserve"> </w:t>
      </w:r>
      <w:proofErr w:type="spellStart"/>
      <w:r w:rsidR="00A46712" w:rsidRPr="00A46712">
        <w:rPr>
          <w:rFonts w:ascii="Cambria" w:hAnsi="Cambria" w:cs="Times New Roman"/>
          <w:color w:val="000000" w:themeColor="text1"/>
          <w:lang w:val="en-ID"/>
        </w:rPr>
        <w:t>Terpadu</w:t>
      </w:r>
      <w:proofErr w:type="spellEnd"/>
      <w:r w:rsidR="000677BD" w:rsidRPr="00A46712">
        <w:rPr>
          <w:rFonts w:ascii="Cambria" w:hAnsi="Cambria" w:cs="Times New Roman"/>
          <w:color w:val="000000" w:themeColor="text1"/>
          <w:lang w:val="en-ID"/>
        </w:rPr>
        <w:t xml:space="preserve"> </w:t>
      </w:r>
      <w:proofErr w:type="spellStart"/>
      <w:r w:rsidR="000677BD" w:rsidRPr="00A46712">
        <w:rPr>
          <w:rFonts w:ascii="Cambria" w:hAnsi="Cambria" w:cs="Times New Roman"/>
          <w:color w:val="000000" w:themeColor="text1"/>
          <w:lang w:val="en-ID"/>
        </w:rPr>
        <w:t>I</w:t>
      </w:r>
      <w:r w:rsidR="00A46712" w:rsidRPr="00A46712">
        <w:rPr>
          <w:rFonts w:ascii="Cambria" w:hAnsi="Cambria" w:cs="Times New Roman"/>
          <w:color w:val="000000" w:themeColor="text1"/>
          <w:lang w:val="en-ID"/>
        </w:rPr>
        <w:t>n</w:t>
      </w:r>
      <w:r w:rsidR="000677BD" w:rsidRPr="00A46712">
        <w:rPr>
          <w:rFonts w:ascii="Cambria" w:hAnsi="Cambria" w:cs="Times New Roman"/>
          <w:color w:val="000000" w:themeColor="text1"/>
          <w:lang w:val="en-ID"/>
        </w:rPr>
        <w:t>stitut</w:t>
      </w:r>
      <w:proofErr w:type="spellEnd"/>
      <w:r w:rsidR="000677BD" w:rsidRPr="00A46712">
        <w:rPr>
          <w:rFonts w:ascii="Cambria" w:hAnsi="Cambria" w:cs="Times New Roman"/>
          <w:color w:val="000000" w:themeColor="text1"/>
          <w:lang w:val="en-ID"/>
        </w:rPr>
        <w:t xml:space="preserve"> </w:t>
      </w:r>
      <w:proofErr w:type="spellStart"/>
      <w:r w:rsidR="000677BD" w:rsidRPr="00A46712">
        <w:rPr>
          <w:rFonts w:ascii="Cambria" w:hAnsi="Cambria" w:cs="Times New Roman"/>
          <w:color w:val="000000" w:themeColor="text1"/>
          <w:lang w:val="en-ID"/>
        </w:rPr>
        <w:t>Pertanian</w:t>
      </w:r>
      <w:proofErr w:type="spellEnd"/>
      <w:r w:rsidR="000677BD" w:rsidRPr="00A46712">
        <w:rPr>
          <w:rFonts w:ascii="Cambria" w:hAnsi="Cambria" w:cs="Times New Roman"/>
          <w:color w:val="000000" w:themeColor="text1"/>
          <w:lang w:val="en-ID"/>
        </w:rPr>
        <w:t xml:space="preserve"> Bogor. </w:t>
      </w:r>
      <w:proofErr w:type="spellStart"/>
      <w:r w:rsidR="000677BD" w:rsidRPr="00A46712">
        <w:rPr>
          <w:rFonts w:ascii="Cambria" w:hAnsi="Cambria"/>
        </w:rPr>
        <w:t>Persetujuan</w:t>
      </w:r>
      <w:proofErr w:type="spellEnd"/>
      <w:r w:rsidR="000677BD" w:rsidRPr="00A46712">
        <w:rPr>
          <w:rFonts w:ascii="Cambria" w:hAnsi="Cambria"/>
        </w:rPr>
        <w:t xml:space="preserve"> </w:t>
      </w:r>
      <w:proofErr w:type="spellStart"/>
      <w:r w:rsidR="000677BD" w:rsidRPr="00A46712">
        <w:rPr>
          <w:rFonts w:ascii="Cambria" w:hAnsi="Cambria"/>
        </w:rPr>
        <w:t>Etik</w:t>
      </w:r>
      <w:proofErr w:type="spellEnd"/>
      <w:r w:rsidR="000677BD" w:rsidRPr="00A46712">
        <w:rPr>
          <w:rFonts w:ascii="Cambria" w:hAnsi="Cambria"/>
        </w:rPr>
        <w:t xml:space="preserve"> </w:t>
      </w:r>
      <w:proofErr w:type="spellStart"/>
      <w:r w:rsidR="000677BD" w:rsidRPr="00A46712">
        <w:rPr>
          <w:rFonts w:ascii="Cambria" w:hAnsi="Cambria"/>
        </w:rPr>
        <w:t>penelitian</w:t>
      </w:r>
      <w:proofErr w:type="spellEnd"/>
      <w:r w:rsidR="000677BD" w:rsidRPr="00A46712">
        <w:rPr>
          <w:rFonts w:ascii="Cambria" w:hAnsi="Cambria"/>
        </w:rPr>
        <w:t xml:space="preserve"> </w:t>
      </w:r>
      <w:proofErr w:type="spellStart"/>
      <w:r w:rsidR="000677BD" w:rsidRPr="00A46712">
        <w:rPr>
          <w:rFonts w:ascii="Cambria" w:hAnsi="Cambria"/>
        </w:rPr>
        <w:t>ini</w:t>
      </w:r>
      <w:proofErr w:type="spellEnd"/>
      <w:r w:rsidR="000677BD" w:rsidRPr="00A46712">
        <w:rPr>
          <w:rFonts w:ascii="Cambria" w:hAnsi="Cambria"/>
        </w:rPr>
        <w:t xml:space="preserve"> </w:t>
      </w:r>
      <w:proofErr w:type="spellStart"/>
      <w:r w:rsidR="000677BD" w:rsidRPr="00A46712">
        <w:rPr>
          <w:rFonts w:ascii="Cambria" w:hAnsi="Cambria"/>
        </w:rPr>
        <w:t>didapatkan</w:t>
      </w:r>
      <w:proofErr w:type="spellEnd"/>
      <w:r w:rsidR="000677BD" w:rsidRPr="00A46712">
        <w:rPr>
          <w:rFonts w:ascii="Cambria" w:hAnsi="Cambria"/>
        </w:rPr>
        <w:t xml:space="preserve"> </w:t>
      </w:r>
      <w:proofErr w:type="spellStart"/>
      <w:r w:rsidR="000677BD" w:rsidRPr="00A46712">
        <w:rPr>
          <w:rFonts w:ascii="Cambria" w:hAnsi="Cambria"/>
        </w:rPr>
        <w:t>dari</w:t>
      </w:r>
      <w:proofErr w:type="spellEnd"/>
      <w:r w:rsidR="000677BD" w:rsidRPr="00A46712">
        <w:rPr>
          <w:rFonts w:ascii="Cambria" w:hAnsi="Cambria"/>
        </w:rPr>
        <w:t xml:space="preserve"> </w:t>
      </w:r>
      <w:proofErr w:type="spellStart"/>
      <w:r w:rsidR="000677BD" w:rsidRPr="00A46712">
        <w:rPr>
          <w:rFonts w:ascii="Cambria" w:hAnsi="Cambria"/>
        </w:rPr>
        <w:t>Komisi</w:t>
      </w:r>
      <w:proofErr w:type="spellEnd"/>
      <w:r w:rsidR="000677BD" w:rsidRPr="00A46712">
        <w:rPr>
          <w:rFonts w:ascii="Cambria" w:hAnsi="Cambria"/>
        </w:rPr>
        <w:t xml:space="preserve"> </w:t>
      </w:r>
      <w:proofErr w:type="spellStart"/>
      <w:r w:rsidR="000677BD" w:rsidRPr="00A46712">
        <w:rPr>
          <w:rFonts w:ascii="Cambria" w:hAnsi="Cambria"/>
        </w:rPr>
        <w:t>Etik</w:t>
      </w:r>
      <w:proofErr w:type="spellEnd"/>
      <w:r w:rsidR="000677BD" w:rsidRPr="00A46712">
        <w:rPr>
          <w:rFonts w:ascii="Cambria" w:hAnsi="Cambria"/>
        </w:rPr>
        <w:t xml:space="preserve"> </w:t>
      </w:r>
      <w:proofErr w:type="spellStart"/>
      <w:r w:rsidR="00A46712" w:rsidRPr="00A46712">
        <w:rPr>
          <w:rFonts w:ascii="Cambria" w:hAnsi="Cambria"/>
        </w:rPr>
        <w:t>Penelitian</w:t>
      </w:r>
      <w:proofErr w:type="spellEnd"/>
      <w:r w:rsidR="00A46712" w:rsidRPr="00A46712">
        <w:rPr>
          <w:rFonts w:ascii="Cambria" w:hAnsi="Cambria"/>
        </w:rPr>
        <w:t xml:space="preserve"> dan Kesehatan</w:t>
      </w:r>
      <w:r w:rsidR="00A46712">
        <w:rPr>
          <w:rFonts w:ascii="Cambria" w:hAnsi="Cambria"/>
        </w:rPr>
        <w:t xml:space="preserve"> </w:t>
      </w:r>
      <w:proofErr w:type="spellStart"/>
      <w:r w:rsidR="00A46712">
        <w:rPr>
          <w:rFonts w:ascii="Cambria" w:hAnsi="Cambria"/>
        </w:rPr>
        <w:t>Poltekkes</w:t>
      </w:r>
      <w:proofErr w:type="spellEnd"/>
      <w:r w:rsidR="00A46712">
        <w:rPr>
          <w:rFonts w:ascii="Cambria" w:hAnsi="Cambria"/>
        </w:rPr>
        <w:t xml:space="preserve"> </w:t>
      </w:r>
      <w:proofErr w:type="spellStart"/>
      <w:r w:rsidR="00A46712">
        <w:rPr>
          <w:rFonts w:ascii="Cambria" w:hAnsi="Cambria"/>
        </w:rPr>
        <w:t>Mataram</w:t>
      </w:r>
      <w:proofErr w:type="spellEnd"/>
      <w:r w:rsidR="00A46712">
        <w:rPr>
          <w:rFonts w:ascii="Cambria" w:hAnsi="Cambria"/>
        </w:rPr>
        <w:t xml:space="preserve"> </w:t>
      </w:r>
      <w:proofErr w:type="spellStart"/>
      <w:r w:rsidR="00A46712">
        <w:rPr>
          <w:rFonts w:ascii="Cambria" w:hAnsi="Cambria"/>
        </w:rPr>
        <w:t>dengan</w:t>
      </w:r>
      <w:proofErr w:type="spellEnd"/>
      <w:r w:rsidR="00A46712">
        <w:rPr>
          <w:rFonts w:ascii="Cambria" w:hAnsi="Cambria"/>
        </w:rPr>
        <w:t xml:space="preserve"> No. LB.01.03/6/6006/2021.</w:t>
      </w:r>
    </w:p>
    <w:p w14:paraId="3D139A7D" w14:textId="77777777" w:rsidR="005259FA" w:rsidRPr="000677BD" w:rsidRDefault="005259FA">
      <w:pPr>
        <w:spacing w:after="0" w:line="240" w:lineRule="auto"/>
        <w:ind w:firstLine="567"/>
        <w:jc w:val="both"/>
        <w:rPr>
          <w:rFonts w:ascii="Cambria" w:hAnsi="Cambria" w:cs="Times New Roman"/>
          <w:color w:val="000000" w:themeColor="text1"/>
          <w:lang w:val="en-ID"/>
        </w:rPr>
      </w:pPr>
    </w:p>
    <w:p w14:paraId="0DCBB297" w14:textId="0670CD31" w:rsidR="00FB1D67" w:rsidRPr="00FB1D67" w:rsidRDefault="00090E54" w:rsidP="00FB1D67">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Bahan dan Alat</w:t>
      </w:r>
    </w:p>
    <w:p w14:paraId="577BC392" w14:textId="31EFBFBD" w:rsidR="009156D2" w:rsidRPr="00090E54" w:rsidRDefault="009156D2" w:rsidP="000677BD">
      <w:pPr>
        <w:spacing w:after="0" w:line="240" w:lineRule="auto"/>
        <w:ind w:firstLine="720"/>
        <w:contextualSpacing/>
        <w:jc w:val="both"/>
        <w:rPr>
          <w:rFonts w:ascii="Cambria" w:hAnsi="Cambria" w:cs="Times New Roman"/>
          <w:lang w:val="en-ID"/>
        </w:rPr>
      </w:pPr>
      <w:r w:rsidRPr="00090E54">
        <w:rPr>
          <w:rFonts w:ascii="Cambria" w:hAnsi="Cambria" w:cs="Times New Roman"/>
        </w:rPr>
        <w:t>Bahan</w:t>
      </w:r>
      <w:r w:rsidR="00F90F73">
        <w:rPr>
          <w:rFonts w:ascii="Cambria" w:hAnsi="Cambria" w:cs="Times New Roman"/>
        </w:rPr>
        <w:t>-</w:t>
      </w:r>
      <w:proofErr w:type="spellStart"/>
      <w:r w:rsidR="00F90F73">
        <w:rPr>
          <w:rFonts w:ascii="Cambria" w:hAnsi="Cambria" w:cs="Times New Roman"/>
        </w:rPr>
        <w:t>bahan</w:t>
      </w:r>
      <w:proofErr w:type="spellEnd"/>
      <w:r w:rsidR="00F90F73">
        <w:rPr>
          <w:rFonts w:ascii="Cambria" w:hAnsi="Cambria" w:cs="Times New Roman"/>
        </w:rPr>
        <w:t xml:space="preserve"> </w:t>
      </w:r>
      <w:proofErr w:type="spellStart"/>
      <w:r w:rsidR="00F90F73">
        <w:rPr>
          <w:rFonts w:ascii="Cambria" w:hAnsi="Cambria" w:cs="Times New Roman"/>
        </w:rPr>
        <w:t>biskuit</w:t>
      </w:r>
      <w:proofErr w:type="spellEnd"/>
      <w:r w:rsidRPr="00090E54">
        <w:rPr>
          <w:rFonts w:ascii="Cambria" w:hAnsi="Cambria" w:cs="Times New Roman"/>
        </w:rPr>
        <w:t xml:space="preserve"> yang </w:t>
      </w:r>
      <w:proofErr w:type="spellStart"/>
      <w:r w:rsidRPr="00090E54">
        <w:rPr>
          <w:rFonts w:ascii="Cambria" w:hAnsi="Cambria" w:cs="Times New Roman"/>
        </w:rPr>
        <w:t>digunakan</w:t>
      </w:r>
      <w:proofErr w:type="spellEnd"/>
      <w:r w:rsidRPr="00090E54">
        <w:rPr>
          <w:rFonts w:ascii="Cambria" w:hAnsi="Cambria" w:cs="Times New Roman"/>
        </w:rPr>
        <w:t xml:space="preserve"> </w:t>
      </w:r>
      <w:proofErr w:type="spellStart"/>
      <w:r w:rsidRPr="00090E54">
        <w:rPr>
          <w:rFonts w:ascii="Cambria" w:hAnsi="Cambria" w:cs="Times New Roman"/>
        </w:rPr>
        <w:t>antara</w:t>
      </w:r>
      <w:proofErr w:type="spellEnd"/>
      <w:r w:rsidRPr="00090E54">
        <w:rPr>
          <w:rFonts w:ascii="Cambria" w:hAnsi="Cambria" w:cs="Times New Roman"/>
        </w:rPr>
        <w:t xml:space="preserve"> lain t</w:t>
      </w:r>
      <w:proofErr w:type="spellStart"/>
      <w:r w:rsidRPr="00090E54">
        <w:rPr>
          <w:rFonts w:ascii="Cambria" w:hAnsi="Cambria" w:cs="Times New Roman"/>
          <w:lang w:val="en-ID"/>
        </w:rPr>
        <w:t>epung</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terigu</w:t>
      </w:r>
      <w:proofErr w:type="spellEnd"/>
      <w:r w:rsidRPr="00090E54">
        <w:rPr>
          <w:rFonts w:ascii="Cambria" w:hAnsi="Cambria" w:cs="Times New Roman"/>
          <w:lang w:val="en-ID"/>
        </w:rPr>
        <w:t xml:space="preserve">, margarin, </w:t>
      </w:r>
      <w:proofErr w:type="spellStart"/>
      <w:r w:rsidRPr="00090E54">
        <w:rPr>
          <w:rFonts w:ascii="Cambria" w:hAnsi="Cambria" w:cs="Times New Roman"/>
          <w:lang w:val="en-ID"/>
        </w:rPr>
        <w:t>kuning</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telur</w:t>
      </w:r>
      <w:proofErr w:type="spellEnd"/>
      <w:r w:rsidRPr="00090E54">
        <w:rPr>
          <w:rFonts w:ascii="Cambria" w:hAnsi="Cambria" w:cs="Times New Roman"/>
          <w:lang w:val="en-ID"/>
        </w:rPr>
        <w:t xml:space="preserve">, gula </w:t>
      </w:r>
      <w:proofErr w:type="spellStart"/>
      <w:r w:rsidRPr="00090E54">
        <w:rPr>
          <w:rFonts w:ascii="Cambria" w:hAnsi="Cambria" w:cs="Times New Roman"/>
          <w:lang w:val="en-ID"/>
        </w:rPr>
        <w:t>merah</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jahe</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bubuk</w:t>
      </w:r>
      <w:proofErr w:type="spellEnd"/>
      <w:r w:rsidRPr="00090E54">
        <w:rPr>
          <w:rFonts w:ascii="Cambria" w:hAnsi="Cambria" w:cs="Times New Roman"/>
          <w:lang w:val="en-ID"/>
        </w:rPr>
        <w:t xml:space="preserve">, </w:t>
      </w:r>
      <w:proofErr w:type="spellStart"/>
      <w:r w:rsidR="000677BD" w:rsidRPr="00090E54">
        <w:rPr>
          <w:rFonts w:ascii="Cambria" w:hAnsi="Cambria" w:cs="Times New Roman"/>
          <w:lang w:val="en-ID"/>
        </w:rPr>
        <w:t>kayumanis</w:t>
      </w:r>
      <w:proofErr w:type="spellEnd"/>
      <w:r w:rsidR="000677BD" w:rsidRPr="00090E54">
        <w:rPr>
          <w:rFonts w:ascii="Cambria" w:hAnsi="Cambria" w:cs="Times New Roman"/>
          <w:lang w:val="en-ID"/>
        </w:rPr>
        <w:t xml:space="preserve"> </w:t>
      </w:r>
      <w:proofErr w:type="spellStart"/>
      <w:r w:rsidR="000677BD" w:rsidRPr="00090E54">
        <w:rPr>
          <w:rFonts w:ascii="Cambria" w:hAnsi="Cambria" w:cs="Times New Roman"/>
          <w:lang w:val="en-ID"/>
        </w:rPr>
        <w:t>bubuk</w:t>
      </w:r>
      <w:proofErr w:type="spellEnd"/>
      <w:r w:rsidR="000677BD">
        <w:rPr>
          <w:rFonts w:ascii="Cambria" w:hAnsi="Cambria" w:cs="Times New Roman"/>
          <w:lang w:val="en-ID"/>
        </w:rPr>
        <w:t xml:space="preserve">, </w:t>
      </w:r>
      <w:proofErr w:type="spellStart"/>
      <w:r w:rsidRPr="00090E54">
        <w:rPr>
          <w:rFonts w:ascii="Cambria" w:hAnsi="Cambria" w:cs="Times New Roman"/>
          <w:lang w:val="en-ID"/>
        </w:rPr>
        <w:t>kunyit</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bubuk</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kencur</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bubuk</w:t>
      </w:r>
      <w:proofErr w:type="spellEnd"/>
      <w:r w:rsidRPr="00090E54">
        <w:rPr>
          <w:rFonts w:ascii="Cambria" w:hAnsi="Cambria" w:cs="Times New Roman"/>
          <w:lang w:val="en-ID"/>
        </w:rPr>
        <w:t xml:space="preserve">, sereh </w:t>
      </w:r>
      <w:proofErr w:type="spellStart"/>
      <w:r w:rsidRPr="00090E54">
        <w:rPr>
          <w:rFonts w:ascii="Cambria" w:hAnsi="Cambria" w:cs="Times New Roman"/>
          <w:lang w:val="en-ID"/>
        </w:rPr>
        <w:t>bubuk</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temulawak</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bubuk</w:t>
      </w:r>
      <w:proofErr w:type="spellEnd"/>
      <w:r w:rsidRPr="00090E54">
        <w:rPr>
          <w:rFonts w:ascii="Cambria" w:hAnsi="Cambria" w:cs="Times New Roman"/>
          <w:lang w:val="en-ID"/>
        </w:rPr>
        <w:t xml:space="preserve"> dan </w:t>
      </w:r>
      <w:proofErr w:type="spellStart"/>
      <w:r w:rsidR="000677BD">
        <w:rPr>
          <w:rFonts w:ascii="Cambria" w:hAnsi="Cambria" w:cs="Times New Roman"/>
          <w:lang w:val="en-ID"/>
        </w:rPr>
        <w:t>cengkeh</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bubuk</w:t>
      </w:r>
      <w:proofErr w:type="spellEnd"/>
      <w:r w:rsidRPr="00090E54">
        <w:rPr>
          <w:rFonts w:ascii="Cambria" w:hAnsi="Cambria" w:cs="Times New Roman"/>
          <w:lang w:val="en-ID"/>
        </w:rPr>
        <w:t xml:space="preserve">. </w:t>
      </w:r>
    </w:p>
    <w:p w14:paraId="6F833FDD" w14:textId="4442CA61" w:rsidR="009156D2" w:rsidRPr="00A93B78" w:rsidRDefault="009156D2" w:rsidP="009156D2">
      <w:pPr>
        <w:spacing w:after="0" w:line="240" w:lineRule="auto"/>
        <w:ind w:firstLine="720"/>
        <w:contextualSpacing/>
        <w:jc w:val="both"/>
        <w:rPr>
          <w:rFonts w:ascii="Cambria" w:hAnsi="Cambria"/>
        </w:rPr>
      </w:pPr>
      <w:proofErr w:type="spellStart"/>
      <w:r w:rsidRPr="00A93B78">
        <w:rPr>
          <w:rFonts w:ascii="Cambria" w:hAnsi="Cambria" w:cs="Times New Roman"/>
          <w:lang w:val="en-ID"/>
        </w:rPr>
        <w:t>Peralatan</w:t>
      </w:r>
      <w:proofErr w:type="spellEnd"/>
      <w:r w:rsidRPr="00A93B78">
        <w:rPr>
          <w:rFonts w:ascii="Cambria" w:hAnsi="Cambria" w:cs="Times New Roman"/>
          <w:lang w:val="en-ID"/>
        </w:rPr>
        <w:t xml:space="preserve"> yang </w:t>
      </w:r>
      <w:proofErr w:type="spellStart"/>
      <w:r w:rsidRPr="00A93B78">
        <w:rPr>
          <w:rFonts w:ascii="Cambria" w:hAnsi="Cambria" w:cs="Times New Roman"/>
          <w:lang w:val="en-ID"/>
        </w:rPr>
        <w:t>digunakan</w:t>
      </w:r>
      <w:proofErr w:type="spellEnd"/>
      <w:r w:rsidRPr="00A93B78">
        <w:rPr>
          <w:rFonts w:ascii="Cambria" w:hAnsi="Cambria" w:cs="Times New Roman"/>
          <w:lang w:val="en-ID"/>
        </w:rPr>
        <w:t xml:space="preserve"> </w:t>
      </w:r>
      <w:proofErr w:type="spellStart"/>
      <w:r w:rsidRPr="00A93B78">
        <w:rPr>
          <w:rFonts w:ascii="Cambria" w:hAnsi="Cambria" w:cs="Times New Roman"/>
          <w:lang w:val="en-ID"/>
        </w:rPr>
        <w:t>dalam</w:t>
      </w:r>
      <w:proofErr w:type="spellEnd"/>
      <w:r w:rsidRPr="00A93B78">
        <w:rPr>
          <w:rFonts w:ascii="Cambria" w:hAnsi="Cambria" w:cs="Times New Roman"/>
          <w:lang w:val="en-ID"/>
        </w:rPr>
        <w:t xml:space="preserve"> </w:t>
      </w:r>
      <w:proofErr w:type="spellStart"/>
      <w:r w:rsidRPr="00A93B78">
        <w:rPr>
          <w:rFonts w:ascii="Cambria" w:hAnsi="Cambria" w:cs="Times New Roman"/>
          <w:lang w:val="en-ID"/>
        </w:rPr>
        <w:t>penelitian</w:t>
      </w:r>
      <w:proofErr w:type="spellEnd"/>
      <w:r w:rsidRPr="00A93B78">
        <w:rPr>
          <w:rFonts w:ascii="Cambria" w:hAnsi="Cambria" w:cs="Times New Roman"/>
          <w:lang w:val="en-ID"/>
        </w:rPr>
        <w:t xml:space="preserve"> </w:t>
      </w:r>
      <w:proofErr w:type="spellStart"/>
      <w:r w:rsidRPr="00A93B78">
        <w:rPr>
          <w:rFonts w:ascii="Cambria" w:hAnsi="Cambria" w:cs="Times New Roman"/>
          <w:lang w:val="en-ID"/>
        </w:rPr>
        <w:t>ini</w:t>
      </w:r>
      <w:proofErr w:type="spellEnd"/>
      <w:r w:rsidRPr="00A93B78">
        <w:rPr>
          <w:rFonts w:ascii="Cambria" w:hAnsi="Cambria" w:cs="Times New Roman"/>
          <w:lang w:val="en-ID"/>
        </w:rPr>
        <w:t xml:space="preserve"> </w:t>
      </w:r>
      <w:proofErr w:type="spellStart"/>
      <w:r w:rsidR="00111941">
        <w:rPr>
          <w:rFonts w:ascii="Cambria" w:hAnsi="Cambria" w:cs="Times New Roman"/>
          <w:lang w:val="en-ID"/>
        </w:rPr>
        <w:t>peralatan</w:t>
      </w:r>
      <w:proofErr w:type="spellEnd"/>
      <w:r w:rsidR="00111941">
        <w:rPr>
          <w:rFonts w:ascii="Cambria" w:hAnsi="Cambria" w:cs="Times New Roman"/>
          <w:lang w:val="en-ID"/>
        </w:rPr>
        <w:t xml:space="preserve"> </w:t>
      </w:r>
      <w:proofErr w:type="spellStart"/>
      <w:r w:rsidR="00111941">
        <w:rPr>
          <w:rFonts w:ascii="Cambria" w:hAnsi="Cambria" w:cs="Times New Roman"/>
          <w:lang w:val="en-ID"/>
        </w:rPr>
        <w:t>standar</w:t>
      </w:r>
      <w:proofErr w:type="spellEnd"/>
      <w:r w:rsidR="00111941">
        <w:rPr>
          <w:rFonts w:ascii="Cambria" w:hAnsi="Cambria" w:cs="Times New Roman"/>
          <w:lang w:val="en-ID"/>
        </w:rPr>
        <w:t xml:space="preserve"> </w:t>
      </w:r>
      <w:proofErr w:type="spellStart"/>
      <w:r w:rsidR="00111941">
        <w:rPr>
          <w:rFonts w:ascii="Cambria" w:hAnsi="Cambria" w:cs="Times New Roman"/>
          <w:lang w:val="en-ID"/>
        </w:rPr>
        <w:t>dalam</w:t>
      </w:r>
      <w:proofErr w:type="spellEnd"/>
      <w:r w:rsidR="00111941">
        <w:rPr>
          <w:rFonts w:ascii="Cambria" w:hAnsi="Cambria" w:cs="Times New Roman"/>
          <w:lang w:val="en-ID"/>
        </w:rPr>
        <w:t xml:space="preserve"> </w:t>
      </w:r>
      <w:proofErr w:type="spellStart"/>
      <w:r w:rsidR="00111941">
        <w:rPr>
          <w:rFonts w:ascii="Cambria" w:hAnsi="Cambria" w:cs="Times New Roman"/>
          <w:lang w:val="en-ID"/>
        </w:rPr>
        <w:t>pembuatan</w:t>
      </w:r>
      <w:proofErr w:type="spellEnd"/>
      <w:r w:rsidR="00111941">
        <w:rPr>
          <w:rFonts w:ascii="Cambria" w:hAnsi="Cambria" w:cs="Times New Roman"/>
          <w:lang w:val="en-ID"/>
        </w:rPr>
        <w:t xml:space="preserve"> </w:t>
      </w:r>
      <w:proofErr w:type="spellStart"/>
      <w:r w:rsidRPr="00A93B78">
        <w:rPr>
          <w:rFonts w:ascii="Cambria" w:hAnsi="Cambria" w:cs="Times New Roman"/>
          <w:lang w:val="en-ID"/>
        </w:rPr>
        <w:t>biskuit</w:t>
      </w:r>
      <w:proofErr w:type="spellEnd"/>
      <w:r w:rsidRPr="00A93B78">
        <w:rPr>
          <w:rFonts w:ascii="Cambria" w:hAnsi="Cambria" w:cs="Times New Roman"/>
          <w:lang w:val="en-ID"/>
        </w:rPr>
        <w:t xml:space="preserve">, </w:t>
      </w:r>
      <w:proofErr w:type="spellStart"/>
      <w:r w:rsidR="00111941">
        <w:rPr>
          <w:rFonts w:ascii="Cambria" w:hAnsi="Cambria" w:cs="Times New Roman"/>
          <w:lang w:val="en-ID"/>
        </w:rPr>
        <w:t>peralatan</w:t>
      </w:r>
      <w:proofErr w:type="spellEnd"/>
      <w:r w:rsidR="00111941">
        <w:rPr>
          <w:rFonts w:ascii="Cambria" w:hAnsi="Cambria" w:cs="Times New Roman"/>
          <w:lang w:val="en-ID"/>
        </w:rPr>
        <w:t xml:space="preserve"> </w:t>
      </w:r>
      <w:proofErr w:type="spellStart"/>
      <w:r w:rsidR="00111941">
        <w:rPr>
          <w:rFonts w:ascii="Cambria" w:hAnsi="Cambria" w:cs="Times New Roman"/>
          <w:lang w:val="en-ID"/>
        </w:rPr>
        <w:t>untuk</w:t>
      </w:r>
      <w:proofErr w:type="spellEnd"/>
      <w:r w:rsidRPr="00A93B78">
        <w:rPr>
          <w:rFonts w:ascii="Cambria" w:hAnsi="Cambria" w:cs="Times New Roman"/>
          <w:lang w:val="en-ID"/>
        </w:rPr>
        <w:t xml:space="preserve"> uji </w:t>
      </w:r>
      <w:proofErr w:type="spellStart"/>
      <w:r w:rsidRPr="00A93B78">
        <w:rPr>
          <w:rFonts w:ascii="Cambria" w:hAnsi="Cambria" w:cs="Times New Roman"/>
          <w:lang w:val="en-ID"/>
        </w:rPr>
        <w:t>organoleptik</w:t>
      </w:r>
      <w:proofErr w:type="spellEnd"/>
      <w:r w:rsidRPr="00A93B78">
        <w:rPr>
          <w:rFonts w:ascii="Cambria" w:hAnsi="Cambria" w:cs="Times New Roman"/>
          <w:lang w:val="en-ID"/>
        </w:rPr>
        <w:t xml:space="preserve">, dan </w:t>
      </w:r>
      <w:proofErr w:type="spellStart"/>
      <w:r w:rsidR="00111941">
        <w:rPr>
          <w:rFonts w:ascii="Cambria" w:hAnsi="Cambria" w:cs="Times New Roman"/>
          <w:lang w:val="en-ID"/>
        </w:rPr>
        <w:t>peralatan</w:t>
      </w:r>
      <w:proofErr w:type="spellEnd"/>
      <w:r w:rsidR="00111941">
        <w:rPr>
          <w:rFonts w:ascii="Cambria" w:hAnsi="Cambria" w:cs="Times New Roman"/>
          <w:lang w:val="en-ID"/>
        </w:rPr>
        <w:t xml:space="preserve"> </w:t>
      </w:r>
      <w:proofErr w:type="spellStart"/>
      <w:r w:rsidRPr="00A93B78">
        <w:rPr>
          <w:rFonts w:ascii="Cambria" w:hAnsi="Cambria" w:cs="Times New Roman"/>
          <w:lang w:val="en-ID"/>
        </w:rPr>
        <w:t>untuk</w:t>
      </w:r>
      <w:proofErr w:type="spellEnd"/>
      <w:r w:rsidRPr="00A93B78">
        <w:rPr>
          <w:rFonts w:ascii="Cambria" w:hAnsi="Cambria" w:cs="Times New Roman"/>
          <w:lang w:val="en-ID"/>
        </w:rPr>
        <w:t xml:space="preserve"> </w:t>
      </w:r>
      <w:proofErr w:type="spellStart"/>
      <w:r w:rsidR="00111941">
        <w:rPr>
          <w:rFonts w:ascii="Cambria" w:hAnsi="Cambria" w:cs="Times New Roman"/>
          <w:lang w:val="en-ID"/>
        </w:rPr>
        <w:t>analisa</w:t>
      </w:r>
      <w:proofErr w:type="spellEnd"/>
      <w:r w:rsidR="00111941">
        <w:rPr>
          <w:rFonts w:ascii="Cambria" w:hAnsi="Cambria" w:cs="Times New Roman"/>
          <w:lang w:val="en-ID"/>
        </w:rPr>
        <w:t xml:space="preserve"> AOAC dan DPPH</w:t>
      </w:r>
      <w:r w:rsidRPr="00A93B78">
        <w:rPr>
          <w:rFonts w:ascii="Cambria" w:hAnsi="Cambria" w:cs="Times New Roman"/>
          <w:lang w:val="en-ID"/>
        </w:rPr>
        <w:t xml:space="preserve">. </w:t>
      </w:r>
    </w:p>
    <w:p w14:paraId="28793D12" w14:textId="77777777" w:rsidR="00A93B78" w:rsidRPr="00090E54" w:rsidRDefault="00A93B78" w:rsidP="009156D2">
      <w:pPr>
        <w:spacing w:after="0" w:line="240" w:lineRule="auto"/>
        <w:ind w:firstLine="720"/>
        <w:contextualSpacing/>
        <w:jc w:val="both"/>
        <w:rPr>
          <w:rFonts w:ascii="Cambria" w:hAnsi="Cambria" w:cs="Times New Roman"/>
          <w:lang w:val="en-ID"/>
        </w:rPr>
      </w:pPr>
    </w:p>
    <w:p w14:paraId="4305610C" w14:textId="7F9621D6" w:rsidR="009156D2" w:rsidRPr="00090E54" w:rsidRDefault="00FB1D67" w:rsidP="003F57CC">
      <w:pPr>
        <w:spacing w:after="0" w:line="240" w:lineRule="auto"/>
        <w:jc w:val="both"/>
        <w:rPr>
          <w:rFonts w:ascii="Cambria" w:hAnsi="Cambria"/>
          <w:b/>
        </w:rPr>
      </w:pPr>
      <w:r w:rsidRPr="00090E54">
        <w:rPr>
          <w:rFonts w:ascii="Cambria" w:hAnsi="Cambria"/>
          <w:b/>
        </w:rPr>
        <w:t>Proses</w:t>
      </w:r>
      <w:r w:rsidR="009156D2" w:rsidRPr="00090E54">
        <w:rPr>
          <w:rFonts w:ascii="Cambria" w:hAnsi="Cambria"/>
          <w:b/>
        </w:rPr>
        <w:t xml:space="preserve"> </w:t>
      </w:r>
      <w:proofErr w:type="spellStart"/>
      <w:r w:rsidR="009156D2" w:rsidRPr="00090E54">
        <w:rPr>
          <w:rFonts w:ascii="Cambria" w:hAnsi="Cambria"/>
          <w:b/>
        </w:rPr>
        <w:t>Pembuatan</w:t>
      </w:r>
      <w:proofErr w:type="spellEnd"/>
      <w:r w:rsidR="009156D2" w:rsidRPr="00090E54">
        <w:rPr>
          <w:rFonts w:ascii="Cambria" w:hAnsi="Cambria"/>
          <w:b/>
        </w:rPr>
        <w:t xml:space="preserve"> </w:t>
      </w:r>
      <w:proofErr w:type="spellStart"/>
      <w:r w:rsidR="009156D2" w:rsidRPr="00090E54">
        <w:rPr>
          <w:rFonts w:ascii="Cambria" w:hAnsi="Cambria"/>
          <w:b/>
        </w:rPr>
        <w:t>Biskuit</w:t>
      </w:r>
      <w:proofErr w:type="spellEnd"/>
      <w:r w:rsidR="009156D2" w:rsidRPr="00090E54">
        <w:rPr>
          <w:rFonts w:ascii="Cambria" w:hAnsi="Cambria"/>
          <w:b/>
        </w:rPr>
        <w:t xml:space="preserve"> Anti-corona</w:t>
      </w:r>
    </w:p>
    <w:p w14:paraId="2AAD76F6" w14:textId="341A720C" w:rsidR="009156D2" w:rsidRDefault="00A93B78" w:rsidP="003F57CC">
      <w:pPr>
        <w:spacing w:after="0" w:line="240" w:lineRule="auto"/>
        <w:ind w:firstLine="720"/>
        <w:contextualSpacing/>
        <w:jc w:val="both"/>
        <w:rPr>
          <w:rFonts w:ascii="Cambria" w:hAnsi="Cambria" w:cs="Times New Roman"/>
          <w:lang w:val="en-ID"/>
        </w:rPr>
      </w:pPr>
      <w:r w:rsidRPr="00D95178">
        <w:rPr>
          <w:rFonts w:ascii="Cambria" w:hAnsi="Cambria"/>
        </w:rPr>
        <w:t>Pr</w:t>
      </w:r>
      <w:r w:rsidR="00F90F73">
        <w:rPr>
          <w:rFonts w:ascii="Cambria" w:hAnsi="Cambria"/>
        </w:rPr>
        <w:t>oses</w:t>
      </w:r>
      <w:r w:rsidRPr="00D95178">
        <w:rPr>
          <w:rFonts w:ascii="Cambria" w:hAnsi="Cambria"/>
        </w:rPr>
        <w:t xml:space="preserve"> </w:t>
      </w:r>
      <w:proofErr w:type="spellStart"/>
      <w:r w:rsidRPr="00D95178">
        <w:rPr>
          <w:rFonts w:ascii="Cambria" w:hAnsi="Cambria"/>
        </w:rPr>
        <w:t>pembuatan</w:t>
      </w:r>
      <w:proofErr w:type="spellEnd"/>
      <w:r w:rsidRPr="00D95178">
        <w:rPr>
          <w:rFonts w:ascii="Cambria" w:hAnsi="Cambria"/>
        </w:rPr>
        <w:t xml:space="preserve"> </w:t>
      </w:r>
      <w:proofErr w:type="spellStart"/>
      <w:r w:rsidRPr="00D95178">
        <w:rPr>
          <w:rFonts w:ascii="Cambria" w:hAnsi="Cambria"/>
        </w:rPr>
        <w:t>produk</w:t>
      </w:r>
      <w:proofErr w:type="spellEnd"/>
      <w:r w:rsidRPr="00D95178">
        <w:rPr>
          <w:rFonts w:ascii="Cambria" w:hAnsi="Cambria"/>
        </w:rPr>
        <w:t xml:space="preserve"> </w:t>
      </w:r>
      <w:proofErr w:type="spellStart"/>
      <w:r w:rsidR="0063512D">
        <w:rPr>
          <w:rFonts w:ascii="Cambria" w:hAnsi="Cambria"/>
        </w:rPr>
        <w:t>biskuit</w:t>
      </w:r>
      <w:proofErr w:type="spellEnd"/>
      <w:r w:rsidRPr="00D95178">
        <w:rPr>
          <w:rFonts w:ascii="Cambria" w:hAnsi="Cambria"/>
        </w:rPr>
        <w:t xml:space="preserve"> anti-corona </w:t>
      </w:r>
      <w:proofErr w:type="spellStart"/>
      <w:r w:rsidR="00F90F73">
        <w:rPr>
          <w:rFonts w:ascii="Cambria" w:hAnsi="Cambria"/>
        </w:rPr>
        <w:t>dilakukan</w:t>
      </w:r>
      <w:proofErr w:type="spellEnd"/>
      <w:r w:rsidR="00F90F73">
        <w:rPr>
          <w:rFonts w:ascii="Cambria" w:hAnsi="Cambria"/>
        </w:rPr>
        <w:t xml:space="preserve"> </w:t>
      </w:r>
      <w:proofErr w:type="spellStart"/>
      <w:r w:rsidR="00F90F73">
        <w:rPr>
          <w:rFonts w:ascii="Cambria" w:hAnsi="Cambria"/>
        </w:rPr>
        <w:t>dengan</w:t>
      </w:r>
      <w:proofErr w:type="spellEnd"/>
      <w:r w:rsidRPr="00D95178">
        <w:rPr>
          <w:rFonts w:ascii="Cambria" w:hAnsi="Cambria"/>
        </w:rPr>
        <w:t xml:space="preserve"> </w:t>
      </w:r>
      <w:proofErr w:type="spellStart"/>
      <w:proofErr w:type="gramStart"/>
      <w:r w:rsidRPr="00D95178">
        <w:rPr>
          <w:rFonts w:ascii="Cambria" w:hAnsi="Cambria"/>
        </w:rPr>
        <w:t>tahap</w:t>
      </w:r>
      <w:r w:rsidR="00F90F73">
        <w:rPr>
          <w:rFonts w:ascii="Cambria" w:hAnsi="Cambria"/>
        </w:rPr>
        <w:t>an</w:t>
      </w:r>
      <w:proofErr w:type="spellEnd"/>
      <w:r w:rsidR="00F90F73">
        <w:rPr>
          <w:rFonts w:ascii="Cambria" w:hAnsi="Cambria"/>
        </w:rPr>
        <w:t xml:space="preserve"> :</w:t>
      </w:r>
      <w:proofErr w:type="gramEnd"/>
      <w:r w:rsidRPr="00D95178">
        <w:rPr>
          <w:rFonts w:ascii="Cambria" w:hAnsi="Cambria"/>
        </w:rPr>
        <w:t xml:space="preserve"> </w:t>
      </w:r>
      <w:proofErr w:type="spellStart"/>
      <w:r w:rsidRPr="00D95178">
        <w:rPr>
          <w:rFonts w:ascii="Cambria" w:hAnsi="Cambria"/>
        </w:rPr>
        <w:t>penimbangan</w:t>
      </w:r>
      <w:proofErr w:type="spellEnd"/>
      <w:r w:rsidRPr="00D95178">
        <w:rPr>
          <w:rFonts w:ascii="Cambria" w:hAnsi="Cambria"/>
        </w:rPr>
        <w:t xml:space="preserve"> </w:t>
      </w:r>
      <w:proofErr w:type="spellStart"/>
      <w:r w:rsidRPr="00D95178">
        <w:rPr>
          <w:rFonts w:ascii="Cambria" w:hAnsi="Cambria"/>
        </w:rPr>
        <w:t>bahan</w:t>
      </w:r>
      <w:proofErr w:type="spellEnd"/>
      <w:r w:rsidRPr="00D95178">
        <w:rPr>
          <w:rFonts w:ascii="Cambria" w:hAnsi="Cambria"/>
        </w:rPr>
        <w:t xml:space="preserve">, </w:t>
      </w:r>
      <w:proofErr w:type="spellStart"/>
      <w:r w:rsidR="00F90F73">
        <w:rPr>
          <w:rFonts w:ascii="Cambria" w:hAnsi="Cambria"/>
        </w:rPr>
        <w:t>kemudian</w:t>
      </w:r>
      <w:proofErr w:type="spellEnd"/>
      <w:r w:rsidR="00F90F73">
        <w:rPr>
          <w:rFonts w:ascii="Cambria" w:hAnsi="Cambria"/>
        </w:rPr>
        <w:t xml:space="preserve"> </w:t>
      </w:r>
      <w:proofErr w:type="spellStart"/>
      <w:r w:rsidRPr="00D95178">
        <w:rPr>
          <w:rFonts w:ascii="Cambria" w:hAnsi="Cambria"/>
        </w:rPr>
        <w:t>pencampuran</w:t>
      </w:r>
      <w:proofErr w:type="spellEnd"/>
      <w:r w:rsidRPr="00D95178">
        <w:rPr>
          <w:rFonts w:ascii="Cambria" w:hAnsi="Cambria"/>
        </w:rPr>
        <w:t xml:space="preserve"> </w:t>
      </w:r>
      <w:proofErr w:type="spellStart"/>
      <w:r w:rsidRPr="00D95178">
        <w:rPr>
          <w:rFonts w:ascii="Cambria" w:hAnsi="Cambria"/>
        </w:rPr>
        <w:t>bahan</w:t>
      </w:r>
      <w:proofErr w:type="spellEnd"/>
      <w:r w:rsidR="00747D1D">
        <w:rPr>
          <w:rFonts w:ascii="Cambria" w:hAnsi="Cambria"/>
        </w:rPr>
        <w:t xml:space="preserve"> </w:t>
      </w:r>
      <w:proofErr w:type="spellStart"/>
      <w:r w:rsidR="00F90F73">
        <w:rPr>
          <w:rFonts w:ascii="Cambria" w:hAnsi="Cambria"/>
        </w:rPr>
        <w:t>tersebut</w:t>
      </w:r>
      <w:proofErr w:type="spellEnd"/>
      <w:r w:rsidR="00F90F73">
        <w:rPr>
          <w:rFonts w:ascii="Cambria" w:hAnsi="Cambria"/>
        </w:rPr>
        <w:t xml:space="preserve"> </w:t>
      </w:r>
      <w:proofErr w:type="spellStart"/>
      <w:r w:rsidR="00747D1D">
        <w:rPr>
          <w:rFonts w:ascii="Cambria" w:hAnsi="Cambria"/>
        </w:rPr>
        <w:t>menjadi</w:t>
      </w:r>
      <w:proofErr w:type="spellEnd"/>
      <w:r w:rsidR="00747D1D">
        <w:rPr>
          <w:rFonts w:ascii="Cambria" w:hAnsi="Cambria"/>
        </w:rPr>
        <w:t xml:space="preserve"> </w:t>
      </w:r>
      <w:proofErr w:type="spellStart"/>
      <w:r w:rsidR="00747D1D">
        <w:rPr>
          <w:rFonts w:ascii="Cambria" w:hAnsi="Cambria"/>
        </w:rPr>
        <w:t>adonan</w:t>
      </w:r>
      <w:proofErr w:type="spellEnd"/>
      <w:r w:rsidR="00F90F73">
        <w:rPr>
          <w:rFonts w:ascii="Cambria" w:hAnsi="Cambria"/>
        </w:rPr>
        <w:t xml:space="preserve">. </w:t>
      </w:r>
      <w:proofErr w:type="spellStart"/>
      <w:r w:rsidR="00F90F73">
        <w:rPr>
          <w:rFonts w:ascii="Cambria" w:hAnsi="Cambria"/>
        </w:rPr>
        <w:t>Selanjutnya</w:t>
      </w:r>
      <w:proofErr w:type="spellEnd"/>
      <w:r w:rsidR="00F90F73">
        <w:rPr>
          <w:rFonts w:ascii="Cambria" w:hAnsi="Cambria"/>
        </w:rPr>
        <w:t xml:space="preserve"> </w:t>
      </w:r>
      <w:proofErr w:type="spellStart"/>
      <w:r w:rsidR="00F90F73">
        <w:rPr>
          <w:rFonts w:ascii="Cambria" w:hAnsi="Cambria"/>
        </w:rPr>
        <w:t>dilakukan</w:t>
      </w:r>
      <w:proofErr w:type="spellEnd"/>
      <w:r w:rsidR="00F90F73">
        <w:rPr>
          <w:rFonts w:ascii="Cambria" w:hAnsi="Cambria"/>
        </w:rPr>
        <w:t xml:space="preserve"> proses</w:t>
      </w:r>
      <w:r w:rsidRPr="00D95178">
        <w:rPr>
          <w:rFonts w:ascii="Cambria" w:hAnsi="Cambria"/>
        </w:rPr>
        <w:t xml:space="preserve"> </w:t>
      </w:r>
      <w:proofErr w:type="spellStart"/>
      <w:r w:rsidRPr="00D95178">
        <w:rPr>
          <w:rFonts w:ascii="Cambria" w:hAnsi="Cambria"/>
        </w:rPr>
        <w:t>pencetakan</w:t>
      </w:r>
      <w:proofErr w:type="spellEnd"/>
      <w:r w:rsidRPr="00D95178">
        <w:rPr>
          <w:rFonts w:ascii="Cambria" w:hAnsi="Cambria"/>
        </w:rPr>
        <w:t xml:space="preserve"> </w:t>
      </w:r>
      <w:proofErr w:type="spellStart"/>
      <w:r w:rsidR="00747D1D">
        <w:rPr>
          <w:rFonts w:ascii="Cambria" w:hAnsi="Cambria"/>
        </w:rPr>
        <w:t>adonan</w:t>
      </w:r>
      <w:proofErr w:type="spellEnd"/>
      <w:r w:rsidR="00F90F73">
        <w:rPr>
          <w:rFonts w:ascii="Cambria" w:hAnsi="Cambria"/>
        </w:rPr>
        <w:t xml:space="preserve"> dan </w:t>
      </w:r>
      <w:proofErr w:type="spellStart"/>
      <w:r w:rsidRPr="00D95178">
        <w:rPr>
          <w:rFonts w:ascii="Cambria" w:hAnsi="Cambria"/>
        </w:rPr>
        <w:t>pemanggangan</w:t>
      </w:r>
      <w:proofErr w:type="spellEnd"/>
      <w:r w:rsidR="00F90F73">
        <w:rPr>
          <w:rFonts w:ascii="Cambria" w:hAnsi="Cambria"/>
        </w:rPr>
        <w:t xml:space="preserve">. </w:t>
      </w:r>
      <w:proofErr w:type="spellStart"/>
      <w:r w:rsidR="00F90F73">
        <w:rPr>
          <w:rFonts w:ascii="Cambria" w:hAnsi="Cambria"/>
        </w:rPr>
        <w:t>Biskuit</w:t>
      </w:r>
      <w:proofErr w:type="spellEnd"/>
      <w:r w:rsidR="00F90F73">
        <w:rPr>
          <w:rFonts w:ascii="Cambria" w:hAnsi="Cambria"/>
        </w:rPr>
        <w:t xml:space="preserve"> yang </w:t>
      </w:r>
      <w:proofErr w:type="spellStart"/>
      <w:r w:rsidR="00F90F73">
        <w:rPr>
          <w:rFonts w:ascii="Cambria" w:hAnsi="Cambria"/>
        </w:rPr>
        <w:t>telah</w:t>
      </w:r>
      <w:proofErr w:type="spellEnd"/>
      <w:r w:rsidR="00F90F73">
        <w:rPr>
          <w:rFonts w:ascii="Cambria" w:hAnsi="Cambria"/>
        </w:rPr>
        <w:t xml:space="preserve"> </w:t>
      </w:r>
      <w:proofErr w:type="spellStart"/>
      <w:proofErr w:type="gramStart"/>
      <w:r w:rsidR="00F90F73">
        <w:rPr>
          <w:rFonts w:ascii="Cambria" w:hAnsi="Cambria"/>
        </w:rPr>
        <w:t>matang</w:t>
      </w:r>
      <w:proofErr w:type="spellEnd"/>
      <w:r w:rsidR="00F90F73">
        <w:rPr>
          <w:rFonts w:ascii="Cambria" w:hAnsi="Cambria"/>
        </w:rPr>
        <w:t xml:space="preserve">  </w:t>
      </w:r>
      <w:proofErr w:type="spellStart"/>
      <w:r w:rsidR="00F90F73">
        <w:rPr>
          <w:rFonts w:ascii="Cambria" w:hAnsi="Cambria"/>
        </w:rPr>
        <w:t>di</w:t>
      </w:r>
      <w:r w:rsidRPr="00D95178">
        <w:rPr>
          <w:rFonts w:ascii="Cambria" w:hAnsi="Cambria"/>
        </w:rPr>
        <w:t>dingin</w:t>
      </w:r>
      <w:r w:rsidR="00F90F73">
        <w:rPr>
          <w:rFonts w:ascii="Cambria" w:hAnsi="Cambria"/>
        </w:rPr>
        <w:t>k</w:t>
      </w:r>
      <w:r w:rsidRPr="00D95178">
        <w:rPr>
          <w:rFonts w:ascii="Cambria" w:hAnsi="Cambria"/>
        </w:rPr>
        <w:t>an</w:t>
      </w:r>
      <w:proofErr w:type="spellEnd"/>
      <w:proofErr w:type="gramEnd"/>
      <w:r w:rsidRPr="00D95178">
        <w:rPr>
          <w:rFonts w:ascii="Cambria" w:hAnsi="Cambria"/>
        </w:rPr>
        <w:t xml:space="preserve"> pada </w:t>
      </w:r>
      <w:proofErr w:type="spellStart"/>
      <w:r w:rsidRPr="00D95178">
        <w:rPr>
          <w:rFonts w:ascii="Cambria" w:hAnsi="Cambria"/>
        </w:rPr>
        <w:t>suhu</w:t>
      </w:r>
      <w:proofErr w:type="spellEnd"/>
      <w:r w:rsidRPr="00D95178">
        <w:rPr>
          <w:rFonts w:ascii="Cambria" w:hAnsi="Cambria"/>
        </w:rPr>
        <w:t xml:space="preserve"> </w:t>
      </w:r>
      <w:proofErr w:type="spellStart"/>
      <w:r w:rsidRPr="00D95178">
        <w:rPr>
          <w:rFonts w:ascii="Cambria" w:hAnsi="Cambria"/>
        </w:rPr>
        <w:t>ruang</w:t>
      </w:r>
      <w:proofErr w:type="spellEnd"/>
      <w:r w:rsidR="00747D1D">
        <w:rPr>
          <w:rFonts w:ascii="Cambria" w:hAnsi="Cambria"/>
        </w:rPr>
        <w:t>.</w:t>
      </w:r>
      <w:r w:rsidRPr="00D95178">
        <w:rPr>
          <w:rFonts w:ascii="Cambria" w:hAnsi="Cambria" w:cs="Times New Roman"/>
          <w:lang w:val="en-ID"/>
        </w:rPr>
        <w:t xml:space="preserve"> </w:t>
      </w:r>
      <w:proofErr w:type="spellStart"/>
      <w:r w:rsidR="009156D2" w:rsidRPr="00D95178">
        <w:rPr>
          <w:rFonts w:ascii="Cambria" w:hAnsi="Cambria" w:cs="Times New Roman"/>
          <w:lang w:val="en-ID"/>
        </w:rPr>
        <w:t>Penambahan</w:t>
      </w:r>
      <w:proofErr w:type="spellEnd"/>
      <w:r w:rsidR="009156D2" w:rsidRPr="00D95178">
        <w:rPr>
          <w:rFonts w:ascii="Cambria" w:hAnsi="Cambria" w:cs="Times New Roman"/>
          <w:lang w:val="en-ID"/>
        </w:rPr>
        <w:t xml:space="preserve"> </w:t>
      </w:r>
      <w:proofErr w:type="spellStart"/>
      <w:r w:rsidR="009156D2" w:rsidRPr="00D95178">
        <w:rPr>
          <w:rFonts w:ascii="Cambria" w:hAnsi="Cambria" w:cs="Times New Roman"/>
          <w:lang w:val="en-ID"/>
        </w:rPr>
        <w:t>campuran</w:t>
      </w:r>
      <w:proofErr w:type="spellEnd"/>
      <w:r w:rsidR="009156D2" w:rsidRPr="00D95178">
        <w:rPr>
          <w:rFonts w:ascii="Cambria" w:hAnsi="Cambria" w:cs="Times New Roman"/>
          <w:lang w:val="en-ID"/>
        </w:rPr>
        <w:t xml:space="preserve"> </w:t>
      </w:r>
      <w:proofErr w:type="spellStart"/>
      <w:r w:rsidR="00747D1D">
        <w:rPr>
          <w:rFonts w:ascii="Cambria" w:hAnsi="Cambria" w:cs="Times New Roman"/>
          <w:lang w:val="en-ID"/>
        </w:rPr>
        <w:t>rempah-rempah</w:t>
      </w:r>
      <w:proofErr w:type="spellEnd"/>
      <w:r w:rsidR="009156D2" w:rsidRPr="00D95178">
        <w:rPr>
          <w:rFonts w:ascii="Cambria" w:hAnsi="Cambria" w:cs="Times New Roman"/>
          <w:lang w:val="en-ID"/>
        </w:rPr>
        <w:t xml:space="preserve"> </w:t>
      </w:r>
      <w:proofErr w:type="spellStart"/>
      <w:r w:rsidR="009156D2" w:rsidRPr="00D95178">
        <w:rPr>
          <w:rFonts w:ascii="Cambria" w:hAnsi="Cambria" w:cs="Times New Roman"/>
          <w:lang w:val="en-ID"/>
        </w:rPr>
        <w:t>diberikan</w:t>
      </w:r>
      <w:proofErr w:type="spellEnd"/>
      <w:r w:rsidR="009156D2" w:rsidRPr="00D95178">
        <w:rPr>
          <w:rFonts w:ascii="Cambria" w:hAnsi="Cambria" w:cs="Times New Roman"/>
          <w:lang w:val="en-ID"/>
        </w:rPr>
        <w:t xml:space="preserve"> </w:t>
      </w:r>
      <w:proofErr w:type="spellStart"/>
      <w:r w:rsidR="009156D2" w:rsidRPr="00D95178">
        <w:rPr>
          <w:rFonts w:ascii="Cambria" w:hAnsi="Cambria" w:cs="Times New Roman"/>
          <w:lang w:val="en-ID"/>
        </w:rPr>
        <w:t>sebanyak</w:t>
      </w:r>
      <w:proofErr w:type="spellEnd"/>
      <w:r w:rsidR="009156D2" w:rsidRPr="00D95178">
        <w:rPr>
          <w:rFonts w:ascii="Cambria" w:hAnsi="Cambria" w:cs="Times New Roman"/>
          <w:lang w:val="en-ID"/>
        </w:rPr>
        <w:t xml:space="preserve"> </w:t>
      </w:r>
      <w:r w:rsidR="00131BEC" w:rsidRPr="00D95178">
        <w:rPr>
          <w:rFonts w:ascii="Cambria" w:hAnsi="Cambria" w:cs="Times New Roman"/>
          <w:lang w:val="en-ID"/>
        </w:rPr>
        <w:t>10</w:t>
      </w:r>
      <w:r w:rsidR="009156D2" w:rsidRPr="00D95178">
        <w:rPr>
          <w:rFonts w:ascii="Cambria" w:hAnsi="Cambria" w:cs="Times New Roman"/>
          <w:lang w:val="en-ID"/>
        </w:rPr>
        <w:t xml:space="preserve">gram </w:t>
      </w:r>
      <w:proofErr w:type="spellStart"/>
      <w:r w:rsidR="00131BEC" w:rsidRPr="00D95178">
        <w:rPr>
          <w:rFonts w:ascii="Cambria" w:hAnsi="Cambria" w:cs="Times New Roman"/>
          <w:lang w:val="en-ID"/>
        </w:rPr>
        <w:t>untuk</w:t>
      </w:r>
      <w:proofErr w:type="spellEnd"/>
      <w:r w:rsidR="00131BEC" w:rsidRPr="00D95178">
        <w:rPr>
          <w:rFonts w:ascii="Cambria" w:hAnsi="Cambria" w:cs="Times New Roman"/>
          <w:lang w:val="en-ID"/>
        </w:rPr>
        <w:t xml:space="preserve"> </w:t>
      </w:r>
      <w:proofErr w:type="spellStart"/>
      <w:r w:rsidR="00131BEC" w:rsidRPr="00D95178">
        <w:rPr>
          <w:rFonts w:ascii="Cambria" w:hAnsi="Cambria" w:cs="Times New Roman"/>
          <w:lang w:val="en-ID"/>
        </w:rPr>
        <w:t>jahe</w:t>
      </w:r>
      <w:proofErr w:type="spellEnd"/>
      <w:r w:rsidR="00131BEC" w:rsidRPr="00D95178">
        <w:rPr>
          <w:rFonts w:ascii="Cambria" w:hAnsi="Cambria" w:cs="Times New Roman"/>
          <w:lang w:val="en-ID"/>
        </w:rPr>
        <w:t xml:space="preserve"> </w:t>
      </w:r>
      <w:proofErr w:type="spellStart"/>
      <w:r w:rsidR="00131BEC" w:rsidRPr="00D95178">
        <w:rPr>
          <w:rFonts w:ascii="Cambria" w:hAnsi="Cambria" w:cs="Times New Roman"/>
          <w:lang w:val="en-ID"/>
        </w:rPr>
        <w:t>bubuk</w:t>
      </w:r>
      <w:proofErr w:type="spellEnd"/>
      <w:r w:rsidR="00131BEC" w:rsidRPr="00D95178">
        <w:rPr>
          <w:rFonts w:ascii="Cambria" w:hAnsi="Cambria" w:cs="Times New Roman"/>
          <w:lang w:val="en-ID"/>
        </w:rPr>
        <w:t xml:space="preserve"> dan </w:t>
      </w:r>
      <w:proofErr w:type="spellStart"/>
      <w:r w:rsidR="00131BEC" w:rsidRPr="00D95178">
        <w:rPr>
          <w:rFonts w:ascii="Cambria" w:hAnsi="Cambria" w:cs="Times New Roman"/>
          <w:lang w:val="en-ID"/>
        </w:rPr>
        <w:t>kayumanis</w:t>
      </w:r>
      <w:proofErr w:type="spellEnd"/>
      <w:r w:rsidR="00131BEC" w:rsidRPr="00D95178">
        <w:rPr>
          <w:rFonts w:ascii="Cambria" w:hAnsi="Cambria" w:cs="Times New Roman"/>
          <w:lang w:val="en-ID"/>
        </w:rPr>
        <w:t xml:space="preserve"> </w:t>
      </w:r>
      <w:proofErr w:type="spellStart"/>
      <w:r w:rsidR="00131BEC" w:rsidRPr="00D95178">
        <w:rPr>
          <w:rFonts w:ascii="Cambria" w:hAnsi="Cambria" w:cs="Times New Roman"/>
          <w:lang w:val="en-ID"/>
        </w:rPr>
        <w:t>bubuk</w:t>
      </w:r>
      <w:proofErr w:type="spellEnd"/>
      <w:r w:rsidR="00747D1D">
        <w:rPr>
          <w:rFonts w:ascii="Cambria" w:hAnsi="Cambria" w:cs="Times New Roman"/>
          <w:lang w:val="en-ID"/>
        </w:rPr>
        <w:t xml:space="preserve">, </w:t>
      </w:r>
      <w:proofErr w:type="spellStart"/>
      <w:r w:rsidR="00747D1D">
        <w:rPr>
          <w:rFonts w:ascii="Cambria" w:hAnsi="Cambria" w:cs="Times New Roman"/>
          <w:lang w:val="en-ID"/>
        </w:rPr>
        <w:t>s</w:t>
      </w:r>
      <w:r w:rsidR="00131BEC" w:rsidRPr="00D95178">
        <w:rPr>
          <w:rFonts w:ascii="Cambria" w:hAnsi="Cambria" w:cs="Times New Roman"/>
          <w:lang w:val="en-ID"/>
        </w:rPr>
        <w:t>ementara</w:t>
      </w:r>
      <w:proofErr w:type="spellEnd"/>
      <w:r w:rsidR="00131BEC" w:rsidRPr="00D95178">
        <w:rPr>
          <w:rFonts w:ascii="Cambria" w:hAnsi="Cambria" w:cs="Times New Roman"/>
          <w:lang w:val="en-ID"/>
        </w:rPr>
        <w:t xml:space="preserve"> </w:t>
      </w:r>
      <w:proofErr w:type="spellStart"/>
      <w:r w:rsidR="00131BEC" w:rsidRPr="00D95178">
        <w:rPr>
          <w:rFonts w:ascii="Cambria" w:hAnsi="Cambria" w:cs="Times New Roman"/>
          <w:lang w:val="en-ID"/>
        </w:rPr>
        <w:t>itu</w:t>
      </w:r>
      <w:proofErr w:type="spellEnd"/>
      <w:r w:rsidR="00131BEC" w:rsidRPr="00D95178">
        <w:rPr>
          <w:rFonts w:ascii="Cambria" w:hAnsi="Cambria" w:cs="Times New Roman"/>
          <w:lang w:val="en-ID"/>
        </w:rPr>
        <w:t xml:space="preserve">, </w:t>
      </w:r>
      <w:proofErr w:type="spellStart"/>
      <w:r w:rsidR="00131BEC" w:rsidRPr="00D95178">
        <w:rPr>
          <w:rFonts w:ascii="Cambria" w:hAnsi="Cambria" w:cs="Times New Roman"/>
          <w:lang w:val="en-ID"/>
        </w:rPr>
        <w:t>kunyit</w:t>
      </w:r>
      <w:proofErr w:type="spellEnd"/>
      <w:r w:rsidR="00131BEC" w:rsidRPr="00D95178">
        <w:rPr>
          <w:rFonts w:ascii="Cambria" w:hAnsi="Cambria" w:cs="Times New Roman"/>
          <w:lang w:val="en-ID"/>
        </w:rPr>
        <w:t xml:space="preserve">, </w:t>
      </w:r>
      <w:proofErr w:type="spellStart"/>
      <w:r w:rsidR="00131BEC" w:rsidRPr="00D95178">
        <w:rPr>
          <w:rFonts w:ascii="Cambria" w:hAnsi="Cambria" w:cs="Times New Roman"/>
          <w:lang w:val="en-ID"/>
        </w:rPr>
        <w:t>bubuk</w:t>
      </w:r>
      <w:proofErr w:type="spellEnd"/>
      <w:r w:rsidR="00131BEC">
        <w:rPr>
          <w:rFonts w:ascii="Cambria" w:hAnsi="Cambria" w:cs="Times New Roman"/>
          <w:lang w:val="en-ID"/>
        </w:rPr>
        <w:t xml:space="preserve">, </w:t>
      </w:r>
      <w:proofErr w:type="spellStart"/>
      <w:r w:rsidR="00131BEC">
        <w:rPr>
          <w:rFonts w:ascii="Cambria" w:hAnsi="Cambria" w:cs="Times New Roman"/>
          <w:lang w:val="en-ID"/>
        </w:rPr>
        <w:t>kencur</w:t>
      </w:r>
      <w:proofErr w:type="spellEnd"/>
      <w:r w:rsidR="00131BEC">
        <w:rPr>
          <w:rFonts w:ascii="Cambria" w:hAnsi="Cambria" w:cs="Times New Roman"/>
          <w:lang w:val="en-ID"/>
        </w:rPr>
        <w:t xml:space="preserve"> </w:t>
      </w:r>
      <w:proofErr w:type="spellStart"/>
      <w:r w:rsidR="00131BEC">
        <w:rPr>
          <w:rFonts w:ascii="Cambria" w:hAnsi="Cambria" w:cs="Times New Roman"/>
          <w:lang w:val="en-ID"/>
        </w:rPr>
        <w:t>bubuk</w:t>
      </w:r>
      <w:proofErr w:type="spellEnd"/>
      <w:r w:rsidR="00131BEC">
        <w:rPr>
          <w:rFonts w:ascii="Cambria" w:hAnsi="Cambria" w:cs="Times New Roman"/>
          <w:lang w:val="en-ID"/>
        </w:rPr>
        <w:t xml:space="preserve">, sereh </w:t>
      </w:r>
      <w:proofErr w:type="spellStart"/>
      <w:r w:rsidR="00131BEC">
        <w:rPr>
          <w:rFonts w:ascii="Cambria" w:hAnsi="Cambria" w:cs="Times New Roman"/>
          <w:lang w:val="en-ID"/>
        </w:rPr>
        <w:t>bubuk</w:t>
      </w:r>
      <w:proofErr w:type="spellEnd"/>
      <w:r w:rsidR="00131BEC">
        <w:rPr>
          <w:rFonts w:ascii="Cambria" w:hAnsi="Cambria" w:cs="Times New Roman"/>
          <w:lang w:val="en-ID"/>
        </w:rPr>
        <w:t xml:space="preserve">, </w:t>
      </w:r>
      <w:proofErr w:type="spellStart"/>
      <w:r w:rsidR="00131BEC">
        <w:rPr>
          <w:rFonts w:ascii="Cambria" w:hAnsi="Cambria" w:cs="Times New Roman"/>
          <w:lang w:val="en-ID"/>
        </w:rPr>
        <w:t>temulawak</w:t>
      </w:r>
      <w:proofErr w:type="spellEnd"/>
      <w:r w:rsidR="00131BEC">
        <w:rPr>
          <w:rFonts w:ascii="Cambria" w:hAnsi="Cambria" w:cs="Times New Roman"/>
          <w:lang w:val="en-ID"/>
        </w:rPr>
        <w:t xml:space="preserve"> </w:t>
      </w:r>
      <w:proofErr w:type="spellStart"/>
      <w:r w:rsidR="00131BEC">
        <w:rPr>
          <w:rFonts w:ascii="Cambria" w:hAnsi="Cambria" w:cs="Times New Roman"/>
          <w:lang w:val="en-ID"/>
        </w:rPr>
        <w:t>bubuk</w:t>
      </w:r>
      <w:proofErr w:type="spellEnd"/>
      <w:r w:rsidR="00131BEC">
        <w:rPr>
          <w:rFonts w:ascii="Cambria" w:hAnsi="Cambria" w:cs="Times New Roman"/>
          <w:lang w:val="en-ID"/>
        </w:rPr>
        <w:t xml:space="preserve"> dan </w:t>
      </w:r>
      <w:proofErr w:type="spellStart"/>
      <w:r w:rsidR="00131BEC">
        <w:rPr>
          <w:rFonts w:ascii="Cambria" w:hAnsi="Cambria" w:cs="Times New Roman"/>
          <w:lang w:val="en-ID"/>
        </w:rPr>
        <w:t>cengkeh</w:t>
      </w:r>
      <w:proofErr w:type="spellEnd"/>
      <w:r w:rsidR="00131BEC">
        <w:rPr>
          <w:rFonts w:ascii="Cambria" w:hAnsi="Cambria" w:cs="Times New Roman"/>
          <w:lang w:val="en-ID"/>
        </w:rPr>
        <w:t xml:space="preserve"> </w:t>
      </w:r>
      <w:proofErr w:type="spellStart"/>
      <w:r w:rsidR="00131BEC">
        <w:rPr>
          <w:rFonts w:ascii="Cambria" w:hAnsi="Cambria" w:cs="Times New Roman"/>
          <w:lang w:val="en-ID"/>
        </w:rPr>
        <w:t>bubuk</w:t>
      </w:r>
      <w:proofErr w:type="spellEnd"/>
      <w:r w:rsidR="00131BEC">
        <w:rPr>
          <w:rFonts w:ascii="Cambria" w:hAnsi="Cambria" w:cs="Times New Roman"/>
          <w:lang w:val="en-ID"/>
        </w:rPr>
        <w:t xml:space="preserve"> masing-masing </w:t>
      </w:r>
      <w:proofErr w:type="spellStart"/>
      <w:r w:rsidR="00131BEC">
        <w:rPr>
          <w:rFonts w:ascii="Cambria" w:hAnsi="Cambria" w:cs="Times New Roman"/>
          <w:lang w:val="en-ID"/>
        </w:rPr>
        <w:t>sebanyak</w:t>
      </w:r>
      <w:proofErr w:type="spellEnd"/>
      <w:r w:rsidR="00131BEC">
        <w:rPr>
          <w:rFonts w:ascii="Cambria" w:hAnsi="Cambria" w:cs="Times New Roman"/>
          <w:lang w:val="en-ID"/>
        </w:rPr>
        <w:t xml:space="preserve"> 0.4 gram di </w:t>
      </w:r>
      <w:proofErr w:type="spellStart"/>
      <w:r w:rsidR="00131BEC">
        <w:rPr>
          <w:rFonts w:ascii="Cambria" w:hAnsi="Cambria" w:cs="Times New Roman"/>
          <w:lang w:val="en-ID"/>
        </w:rPr>
        <w:t>tiap</w:t>
      </w:r>
      <w:proofErr w:type="spellEnd"/>
      <w:r w:rsidR="00131BEC">
        <w:rPr>
          <w:rFonts w:ascii="Cambria" w:hAnsi="Cambria" w:cs="Times New Roman"/>
          <w:lang w:val="en-ID"/>
        </w:rPr>
        <w:t xml:space="preserve"> </w:t>
      </w:r>
      <w:proofErr w:type="spellStart"/>
      <w:r w:rsidR="00131BEC">
        <w:rPr>
          <w:rFonts w:ascii="Cambria" w:hAnsi="Cambria" w:cs="Times New Roman"/>
          <w:lang w:val="en-ID"/>
        </w:rPr>
        <w:t>adonan</w:t>
      </w:r>
      <w:proofErr w:type="spellEnd"/>
      <w:r w:rsidR="00131BEC">
        <w:rPr>
          <w:rFonts w:ascii="Cambria" w:hAnsi="Cambria" w:cs="Times New Roman"/>
          <w:lang w:val="en-ID"/>
        </w:rPr>
        <w:t>.</w:t>
      </w:r>
      <w:r w:rsidR="009156D2" w:rsidRPr="00090E54">
        <w:rPr>
          <w:rFonts w:ascii="Cambria" w:hAnsi="Cambria" w:cs="Times New Roman"/>
          <w:lang w:val="en-ID"/>
        </w:rPr>
        <w:t xml:space="preserve"> </w:t>
      </w:r>
      <w:proofErr w:type="spellStart"/>
      <w:r w:rsidR="00747D1D">
        <w:rPr>
          <w:rFonts w:ascii="Cambria" w:hAnsi="Cambria" w:cs="Times New Roman"/>
          <w:lang w:val="en-ID"/>
        </w:rPr>
        <w:t>P</w:t>
      </w:r>
      <w:r w:rsidR="009156D2" w:rsidRPr="00090E54">
        <w:rPr>
          <w:rFonts w:ascii="Cambria" w:hAnsi="Cambria" w:cs="Times New Roman"/>
          <w:lang w:val="en-ID"/>
        </w:rPr>
        <w:t>enambahan</w:t>
      </w:r>
      <w:proofErr w:type="spellEnd"/>
      <w:r w:rsidR="009156D2" w:rsidRPr="00090E54">
        <w:rPr>
          <w:rFonts w:ascii="Cambria" w:hAnsi="Cambria" w:cs="Times New Roman"/>
          <w:lang w:val="en-ID"/>
        </w:rPr>
        <w:t xml:space="preserve"> </w:t>
      </w:r>
      <w:proofErr w:type="spellStart"/>
      <w:r w:rsidR="009156D2" w:rsidRPr="00090E54">
        <w:rPr>
          <w:rFonts w:ascii="Cambria" w:hAnsi="Cambria" w:cs="Times New Roman"/>
          <w:lang w:val="en-ID"/>
        </w:rPr>
        <w:t>tepung</w:t>
      </w:r>
      <w:proofErr w:type="spellEnd"/>
      <w:r w:rsidR="009156D2" w:rsidRPr="00090E54">
        <w:rPr>
          <w:rFonts w:ascii="Cambria" w:hAnsi="Cambria" w:cs="Times New Roman"/>
          <w:lang w:val="en-ID"/>
        </w:rPr>
        <w:t xml:space="preserve"> ubi </w:t>
      </w:r>
      <w:proofErr w:type="spellStart"/>
      <w:r w:rsidR="009156D2" w:rsidRPr="00090E54">
        <w:rPr>
          <w:rFonts w:ascii="Cambria" w:hAnsi="Cambria" w:cs="Times New Roman"/>
          <w:lang w:val="en-ID"/>
        </w:rPr>
        <w:t>jalar</w:t>
      </w:r>
      <w:proofErr w:type="spellEnd"/>
      <w:r w:rsidR="00D4116A">
        <w:rPr>
          <w:rFonts w:ascii="Cambria" w:hAnsi="Cambria" w:cs="Times New Roman"/>
          <w:lang w:val="en-ID"/>
        </w:rPr>
        <w:t xml:space="preserve"> </w:t>
      </w:r>
      <w:proofErr w:type="spellStart"/>
      <w:r w:rsidR="00D4116A">
        <w:rPr>
          <w:rFonts w:ascii="Cambria" w:hAnsi="Cambria" w:cs="Times New Roman"/>
          <w:lang w:val="en-ID"/>
        </w:rPr>
        <w:t>ungu</w:t>
      </w:r>
      <w:proofErr w:type="spellEnd"/>
      <w:r w:rsidR="009156D2" w:rsidRPr="00090E54">
        <w:rPr>
          <w:rFonts w:ascii="Cambria" w:hAnsi="Cambria" w:cs="Times New Roman"/>
          <w:lang w:val="en-ID"/>
        </w:rPr>
        <w:t xml:space="preserve"> </w:t>
      </w:r>
      <w:proofErr w:type="spellStart"/>
      <w:r w:rsidR="009156D2" w:rsidRPr="00090E54">
        <w:rPr>
          <w:rFonts w:ascii="Cambria" w:hAnsi="Cambria" w:cs="Times New Roman"/>
          <w:lang w:val="en-ID"/>
        </w:rPr>
        <w:t>dilakukan</w:t>
      </w:r>
      <w:proofErr w:type="spellEnd"/>
      <w:r w:rsidR="009156D2" w:rsidRPr="00090E54">
        <w:rPr>
          <w:rFonts w:ascii="Cambria" w:hAnsi="Cambria" w:cs="Times New Roman"/>
          <w:lang w:val="en-ID"/>
        </w:rPr>
        <w:t xml:space="preserve"> pada </w:t>
      </w:r>
      <w:proofErr w:type="spellStart"/>
      <w:r w:rsidR="009156D2" w:rsidRPr="00090E54">
        <w:rPr>
          <w:rFonts w:ascii="Cambria" w:hAnsi="Cambria" w:cs="Times New Roman"/>
          <w:lang w:val="en-ID"/>
        </w:rPr>
        <w:t>taraf</w:t>
      </w:r>
      <w:proofErr w:type="spellEnd"/>
      <w:r w:rsidR="009156D2" w:rsidRPr="00090E54">
        <w:rPr>
          <w:rFonts w:ascii="Cambria" w:hAnsi="Cambria" w:cs="Times New Roman"/>
          <w:lang w:val="en-ID"/>
        </w:rPr>
        <w:t xml:space="preserve"> </w:t>
      </w:r>
      <w:r w:rsidR="00131BEC">
        <w:rPr>
          <w:rFonts w:ascii="Cambria" w:hAnsi="Cambria" w:cs="Times New Roman"/>
          <w:lang w:val="en-ID"/>
        </w:rPr>
        <w:t>0%, 25</w:t>
      </w:r>
      <w:r w:rsidR="009156D2" w:rsidRPr="00090E54">
        <w:rPr>
          <w:rFonts w:ascii="Cambria" w:hAnsi="Cambria" w:cs="Times New Roman"/>
          <w:lang w:val="en-ID"/>
        </w:rPr>
        <w:t xml:space="preserve">%, </w:t>
      </w:r>
      <w:r w:rsidR="00131BEC">
        <w:rPr>
          <w:rFonts w:ascii="Cambria" w:hAnsi="Cambria" w:cs="Times New Roman"/>
          <w:lang w:val="en-ID"/>
        </w:rPr>
        <w:t>50</w:t>
      </w:r>
      <w:r w:rsidR="009156D2" w:rsidRPr="00090E54">
        <w:rPr>
          <w:rFonts w:ascii="Cambria" w:hAnsi="Cambria" w:cs="Times New Roman"/>
          <w:lang w:val="en-ID"/>
        </w:rPr>
        <w:t>%</w:t>
      </w:r>
      <w:r w:rsidR="00131BEC">
        <w:rPr>
          <w:rFonts w:ascii="Cambria" w:hAnsi="Cambria" w:cs="Times New Roman"/>
          <w:lang w:val="en-ID"/>
        </w:rPr>
        <w:t>, 75%</w:t>
      </w:r>
      <w:r w:rsidR="009156D2" w:rsidRPr="00090E54">
        <w:rPr>
          <w:rFonts w:ascii="Cambria" w:hAnsi="Cambria" w:cs="Times New Roman"/>
          <w:lang w:val="en-ID"/>
        </w:rPr>
        <w:t xml:space="preserve"> dan </w:t>
      </w:r>
      <w:r w:rsidR="00131BEC">
        <w:rPr>
          <w:rFonts w:ascii="Cambria" w:hAnsi="Cambria" w:cs="Times New Roman"/>
          <w:lang w:val="en-ID"/>
        </w:rPr>
        <w:t>100</w:t>
      </w:r>
      <w:r w:rsidR="009156D2" w:rsidRPr="00090E54">
        <w:rPr>
          <w:rFonts w:ascii="Cambria" w:hAnsi="Cambria" w:cs="Times New Roman"/>
          <w:lang w:val="en-ID"/>
        </w:rPr>
        <w:t xml:space="preserve">% </w:t>
      </w:r>
      <w:proofErr w:type="spellStart"/>
      <w:r w:rsidR="009156D2" w:rsidRPr="00090E54">
        <w:rPr>
          <w:rFonts w:ascii="Cambria" w:hAnsi="Cambria" w:cs="Times New Roman"/>
          <w:lang w:val="en-ID"/>
        </w:rPr>
        <w:t>dari</w:t>
      </w:r>
      <w:proofErr w:type="spellEnd"/>
      <w:r w:rsidR="009156D2" w:rsidRPr="00090E54">
        <w:rPr>
          <w:rFonts w:ascii="Cambria" w:hAnsi="Cambria" w:cs="Times New Roman"/>
          <w:lang w:val="en-ID"/>
        </w:rPr>
        <w:t xml:space="preserve"> total </w:t>
      </w:r>
      <w:proofErr w:type="spellStart"/>
      <w:r w:rsidR="009156D2" w:rsidRPr="00090E54">
        <w:rPr>
          <w:rFonts w:ascii="Cambria" w:hAnsi="Cambria" w:cs="Times New Roman"/>
          <w:lang w:val="en-ID"/>
        </w:rPr>
        <w:t>tepung</w:t>
      </w:r>
      <w:proofErr w:type="spellEnd"/>
      <w:r w:rsidR="00747D1D">
        <w:rPr>
          <w:rFonts w:ascii="Cambria" w:hAnsi="Cambria" w:cs="Times New Roman"/>
          <w:lang w:val="en-ID"/>
        </w:rPr>
        <w:t>.</w:t>
      </w:r>
      <w:r w:rsidR="009156D2" w:rsidRPr="00090E54">
        <w:rPr>
          <w:rFonts w:ascii="Cambria" w:hAnsi="Cambria" w:cs="Times New Roman"/>
          <w:lang w:val="en-ID"/>
        </w:rPr>
        <w:t xml:space="preserve"> </w:t>
      </w:r>
      <w:proofErr w:type="spellStart"/>
      <w:r w:rsidR="00D4116A">
        <w:rPr>
          <w:rFonts w:ascii="Cambria" w:hAnsi="Cambria" w:cs="Times New Roman"/>
          <w:lang w:val="en-ID"/>
        </w:rPr>
        <w:t>Resep</w:t>
      </w:r>
      <w:proofErr w:type="spellEnd"/>
      <w:r w:rsidR="00D4116A">
        <w:rPr>
          <w:rFonts w:ascii="Cambria" w:hAnsi="Cambria" w:cs="Times New Roman"/>
          <w:lang w:val="en-ID"/>
        </w:rPr>
        <w:t xml:space="preserve"> </w:t>
      </w:r>
      <w:proofErr w:type="spellStart"/>
      <w:r w:rsidR="00D4116A">
        <w:rPr>
          <w:rFonts w:ascii="Cambria" w:hAnsi="Cambria" w:cs="Times New Roman"/>
          <w:lang w:val="en-ID"/>
        </w:rPr>
        <w:t>atau</w:t>
      </w:r>
      <w:proofErr w:type="spellEnd"/>
      <w:r w:rsidR="00D4116A">
        <w:rPr>
          <w:rFonts w:ascii="Cambria" w:hAnsi="Cambria" w:cs="Times New Roman"/>
          <w:lang w:val="en-ID"/>
        </w:rPr>
        <w:t xml:space="preserve"> formula</w:t>
      </w:r>
      <w:r w:rsidR="009156D2" w:rsidRPr="00090E54">
        <w:rPr>
          <w:rFonts w:ascii="Cambria" w:hAnsi="Cambria" w:cs="Times New Roman"/>
          <w:lang w:val="en-ID"/>
        </w:rPr>
        <w:t xml:space="preserve"> </w:t>
      </w:r>
      <w:proofErr w:type="spellStart"/>
      <w:r w:rsidR="009156D2" w:rsidRPr="00090E54">
        <w:rPr>
          <w:rFonts w:ascii="Cambria" w:hAnsi="Cambria" w:cs="Times New Roman"/>
          <w:lang w:val="en-ID"/>
        </w:rPr>
        <w:t>biskuit</w:t>
      </w:r>
      <w:proofErr w:type="spellEnd"/>
      <w:r w:rsidR="009156D2" w:rsidRPr="00090E54">
        <w:rPr>
          <w:rFonts w:ascii="Cambria" w:hAnsi="Cambria" w:cs="Times New Roman"/>
          <w:lang w:val="en-ID"/>
        </w:rPr>
        <w:t xml:space="preserve"> anti-corona </w:t>
      </w:r>
      <w:proofErr w:type="spellStart"/>
      <w:r w:rsidR="009156D2" w:rsidRPr="00090E54">
        <w:rPr>
          <w:rFonts w:ascii="Cambria" w:hAnsi="Cambria" w:cs="Times New Roman"/>
          <w:lang w:val="en-ID"/>
        </w:rPr>
        <w:t>disajikan</w:t>
      </w:r>
      <w:proofErr w:type="spellEnd"/>
      <w:r w:rsidR="009156D2" w:rsidRPr="00090E54">
        <w:rPr>
          <w:rFonts w:ascii="Cambria" w:hAnsi="Cambria" w:cs="Times New Roman"/>
          <w:lang w:val="en-ID"/>
        </w:rPr>
        <w:t xml:space="preserve"> pada Tabel </w:t>
      </w:r>
      <w:r w:rsidR="00D824F8">
        <w:rPr>
          <w:rFonts w:ascii="Cambria" w:hAnsi="Cambria" w:cs="Times New Roman"/>
          <w:lang w:val="en-ID"/>
        </w:rPr>
        <w:t>1</w:t>
      </w:r>
      <w:r w:rsidR="00A46712">
        <w:rPr>
          <w:rFonts w:ascii="Cambria" w:hAnsi="Cambria" w:cs="Times New Roman"/>
          <w:lang w:val="en-ID"/>
        </w:rPr>
        <w:t>.</w:t>
      </w:r>
    </w:p>
    <w:p w14:paraId="7595F885" w14:textId="77777777" w:rsidR="005259FA" w:rsidRDefault="005259FA" w:rsidP="003F57CC">
      <w:pPr>
        <w:spacing w:after="0" w:line="240" w:lineRule="auto"/>
        <w:ind w:firstLine="720"/>
        <w:contextualSpacing/>
        <w:jc w:val="both"/>
        <w:rPr>
          <w:rFonts w:ascii="Cambria" w:hAnsi="Cambria" w:cs="Times New Roman"/>
          <w:lang w:val="en-ID"/>
        </w:rPr>
      </w:pPr>
    </w:p>
    <w:p w14:paraId="230B58A4" w14:textId="5423605B" w:rsidR="003F57CC" w:rsidRPr="00D824F8" w:rsidRDefault="00A46712" w:rsidP="00FE7A42">
      <w:pPr>
        <w:spacing w:after="0" w:line="240" w:lineRule="auto"/>
        <w:contextualSpacing/>
        <w:jc w:val="both"/>
        <w:rPr>
          <w:rFonts w:ascii="Cambria" w:hAnsi="Cambria" w:cs="Times New Roman"/>
          <w:lang w:val="en-ID"/>
        </w:rPr>
      </w:pPr>
      <w:r>
        <w:rPr>
          <w:rFonts w:ascii="Cambria" w:hAnsi="Cambria" w:cs="Times New Roman"/>
          <w:lang w:val="en-ID"/>
        </w:rPr>
        <w:t xml:space="preserve">Tabel </w:t>
      </w:r>
      <w:r w:rsidR="00D824F8">
        <w:rPr>
          <w:rFonts w:ascii="Cambria" w:hAnsi="Cambria" w:cs="Times New Roman"/>
          <w:lang w:val="en-ID"/>
        </w:rPr>
        <w:t>1</w:t>
      </w:r>
      <w:r>
        <w:rPr>
          <w:rFonts w:ascii="Cambria" w:hAnsi="Cambria" w:cs="Times New Roman"/>
          <w:lang w:val="en-ID"/>
        </w:rPr>
        <w:t xml:space="preserve">. </w:t>
      </w:r>
      <w:r w:rsidR="00D824F8">
        <w:rPr>
          <w:rFonts w:ascii="Cambria" w:hAnsi="Cambria" w:cs="Times New Roman"/>
          <w:lang w:val="en-ID"/>
        </w:rPr>
        <w:t xml:space="preserve">Formula </w:t>
      </w:r>
      <w:proofErr w:type="spellStart"/>
      <w:r>
        <w:rPr>
          <w:rFonts w:ascii="Cambria" w:hAnsi="Cambria" w:cs="Times New Roman"/>
          <w:lang w:val="en-ID"/>
        </w:rPr>
        <w:t>bis</w:t>
      </w:r>
      <w:r w:rsidR="00D824F8">
        <w:rPr>
          <w:rFonts w:ascii="Cambria" w:hAnsi="Cambria" w:cs="Times New Roman"/>
          <w:lang w:val="en-ID"/>
        </w:rPr>
        <w:t>k</w:t>
      </w:r>
      <w:r>
        <w:rPr>
          <w:rFonts w:ascii="Cambria" w:hAnsi="Cambria" w:cs="Times New Roman"/>
          <w:lang w:val="en-ID"/>
        </w:rPr>
        <w:t>uit</w:t>
      </w:r>
      <w:proofErr w:type="spellEnd"/>
      <w:r>
        <w:rPr>
          <w:rFonts w:ascii="Cambria" w:hAnsi="Cambria" w:cs="Times New Roman"/>
          <w:lang w:val="en-ID"/>
        </w:rPr>
        <w:t xml:space="preserve"> </w:t>
      </w:r>
      <w:commentRangeStart w:id="12"/>
      <w:commentRangeStart w:id="13"/>
      <w:proofErr w:type="spellStart"/>
      <w:r>
        <w:rPr>
          <w:rFonts w:ascii="Cambria" w:hAnsi="Cambria" w:cs="Times New Roman"/>
          <w:lang w:val="en-ID"/>
        </w:rPr>
        <w:t>rempah</w:t>
      </w:r>
      <w:commentRangeEnd w:id="12"/>
      <w:proofErr w:type="spellEnd"/>
      <w:r w:rsidR="005259FA">
        <w:rPr>
          <w:rStyle w:val="CommentReference"/>
        </w:rPr>
        <w:commentReference w:id="12"/>
      </w:r>
      <w:commentRangeEnd w:id="13"/>
      <w:r w:rsidR="00DF3C03">
        <w:rPr>
          <w:rStyle w:val="CommentReference"/>
        </w:rPr>
        <w:commentReference w:id="13"/>
      </w:r>
    </w:p>
    <w:tbl>
      <w:tblPr>
        <w:tblStyle w:val="TableGrid"/>
        <w:tblW w:w="4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29"/>
        <w:gridCol w:w="652"/>
        <w:gridCol w:w="600"/>
        <w:gridCol w:w="652"/>
        <w:gridCol w:w="635"/>
      </w:tblGrid>
      <w:tr w:rsidR="00131BEC" w:rsidRPr="00131BEC" w14:paraId="4E6E5FC0" w14:textId="77777777" w:rsidTr="00FE7A42">
        <w:tc>
          <w:tcPr>
            <w:tcW w:w="1413" w:type="dxa"/>
            <w:tcBorders>
              <w:top w:val="single" w:sz="4" w:space="0" w:color="auto"/>
              <w:bottom w:val="single" w:sz="4" w:space="0" w:color="auto"/>
            </w:tcBorders>
            <w:hideMark/>
          </w:tcPr>
          <w:p w14:paraId="3E37BA10" w14:textId="77777777" w:rsidR="00131BEC" w:rsidRPr="00131BEC" w:rsidRDefault="00131BEC">
            <w:pPr>
              <w:jc w:val="both"/>
              <w:rPr>
                <w:rFonts w:ascii="Cambria" w:hAnsi="Cambria"/>
                <w:b/>
                <w:bCs/>
                <w:sz w:val="18"/>
                <w:szCs w:val="18"/>
                <w:lang w:val="en-ID"/>
              </w:rPr>
            </w:pPr>
            <w:r w:rsidRPr="00131BEC">
              <w:rPr>
                <w:rFonts w:ascii="Cambria" w:hAnsi="Cambria"/>
                <w:b/>
                <w:bCs/>
                <w:sz w:val="18"/>
                <w:szCs w:val="18"/>
                <w:lang w:val="en-ID"/>
              </w:rPr>
              <w:t>Bahan</w:t>
            </w:r>
          </w:p>
        </w:tc>
        <w:tc>
          <w:tcPr>
            <w:tcW w:w="629" w:type="dxa"/>
            <w:tcBorders>
              <w:top w:val="single" w:sz="4" w:space="0" w:color="auto"/>
              <w:bottom w:val="single" w:sz="4" w:space="0" w:color="auto"/>
            </w:tcBorders>
            <w:hideMark/>
          </w:tcPr>
          <w:p w14:paraId="7AE9BCBE" w14:textId="72EE4543" w:rsidR="00131BEC" w:rsidRPr="00131BEC" w:rsidRDefault="00131BEC">
            <w:pPr>
              <w:jc w:val="both"/>
              <w:rPr>
                <w:rFonts w:ascii="Cambria" w:hAnsi="Cambria"/>
                <w:b/>
                <w:bCs/>
                <w:sz w:val="18"/>
                <w:szCs w:val="18"/>
                <w:lang w:val="en-ID"/>
              </w:rPr>
            </w:pPr>
            <w:r w:rsidRPr="00131BEC">
              <w:rPr>
                <w:rFonts w:ascii="Cambria" w:hAnsi="Cambria"/>
                <w:b/>
                <w:bCs/>
                <w:sz w:val="18"/>
                <w:szCs w:val="18"/>
                <w:lang w:val="en-ID"/>
              </w:rPr>
              <w:t>F0 (g)</w:t>
            </w:r>
          </w:p>
        </w:tc>
        <w:tc>
          <w:tcPr>
            <w:tcW w:w="652" w:type="dxa"/>
            <w:tcBorders>
              <w:top w:val="single" w:sz="4" w:space="0" w:color="auto"/>
              <w:bottom w:val="single" w:sz="4" w:space="0" w:color="auto"/>
            </w:tcBorders>
            <w:hideMark/>
          </w:tcPr>
          <w:p w14:paraId="73FAC96B" w14:textId="50636162" w:rsidR="00131BEC" w:rsidRPr="00131BEC" w:rsidRDefault="00131BEC">
            <w:pPr>
              <w:jc w:val="both"/>
              <w:rPr>
                <w:rFonts w:ascii="Cambria" w:hAnsi="Cambria"/>
                <w:b/>
                <w:bCs/>
                <w:sz w:val="18"/>
                <w:szCs w:val="18"/>
                <w:lang w:val="en-ID"/>
              </w:rPr>
            </w:pPr>
            <w:r w:rsidRPr="00131BEC">
              <w:rPr>
                <w:rFonts w:ascii="Cambria" w:hAnsi="Cambria"/>
                <w:b/>
                <w:bCs/>
                <w:sz w:val="18"/>
                <w:szCs w:val="18"/>
                <w:lang w:val="en-ID"/>
              </w:rPr>
              <w:t>F1 (g)</w:t>
            </w:r>
          </w:p>
        </w:tc>
        <w:tc>
          <w:tcPr>
            <w:tcW w:w="600" w:type="dxa"/>
            <w:tcBorders>
              <w:top w:val="single" w:sz="4" w:space="0" w:color="auto"/>
              <w:bottom w:val="single" w:sz="4" w:space="0" w:color="auto"/>
            </w:tcBorders>
            <w:hideMark/>
          </w:tcPr>
          <w:p w14:paraId="770E0C92" w14:textId="5A4F5583" w:rsidR="00131BEC" w:rsidRPr="00131BEC" w:rsidRDefault="00131BEC">
            <w:pPr>
              <w:jc w:val="both"/>
              <w:rPr>
                <w:rFonts w:ascii="Cambria" w:hAnsi="Cambria"/>
                <w:b/>
                <w:bCs/>
                <w:sz w:val="18"/>
                <w:szCs w:val="18"/>
                <w:lang w:val="en-ID"/>
              </w:rPr>
            </w:pPr>
            <w:r w:rsidRPr="00131BEC">
              <w:rPr>
                <w:rFonts w:ascii="Cambria" w:hAnsi="Cambria"/>
                <w:b/>
                <w:bCs/>
                <w:sz w:val="18"/>
                <w:szCs w:val="18"/>
                <w:lang w:val="en-ID"/>
              </w:rPr>
              <w:t>F2</w:t>
            </w:r>
            <w:r>
              <w:rPr>
                <w:rFonts w:ascii="Cambria" w:hAnsi="Cambria"/>
                <w:b/>
                <w:bCs/>
                <w:sz w:val="18"/>
                <w:szCs w:val="18"/>
                <w:lang w:val="en-ID"/>
              </w:rPr>
              <w:t xml:space="preserve"> </w:t>
            </w:r>
            <w:r w:rsidRPr="00131BEC">
              <w:rPr>
                <w:rFonts w:ascii="Cambria" w:hAnsi="Cambria"/>
                <w:b/>
                <w:bCs/>
                <w:sz w:val="18"/>
                <w:szCs w:val="18"/>
                <w:lang w:val="en-ID"/>
              </w:rPr>
              <w:t>(</w:t>
            </w:r>
            <w:r>
              <w:rPr>
                <w:rFonts w:ascii="Cambria" w:hAnsi="Cambria"/>
                <w:b/>
                <w:bCs/>
                <w:sz w:val="18"/>
                <w:szCs w:val="18"/>
                <w:lang w:val="en-ID"/>
              </w:rPr>
              <w:t>g</w:t>
            </w:r>
            <w:r w:rsidRPr="00131BEC">
              <w:rPr>
                <w:rFonts w:ascii="Cambria" w:hAnsi="Cambria"/>
                <w:b/>
                <w:bCs/>
                <w:sz w:val="18"/>
                <w:szCs w:val="18"/>
                <w:lang w:val="en-ID"/>
              </w:rPr>
              <w:t>)</w:t>
            </w:r>
          </w:p>
        </w:tc>
        <w:tc>
          <w:tcPr>
            <w:tcW w:w="652" w:type="dxa"/>
            <w:tcBorders>
              <w:top w:val="single" w:sz="4" w:space="0" w:color="auto"/>
              <w:bottom w:val="single" w:sz="4" w:space="0" w:color="auto"/>
            </w:tcBorders>
            <w:hideMark/>
          </w:tcPr>
          <w:p w14:paraId="7105433C" w14:textId="46670AB1" w:rsidR="00131BEC" w:rsidRPr="00131BEC" w:rsidRDefault="00131BEC">
            <w:pPr>
              <w:jc w:val="both"/>
              <w:rPr>
                <w:rFonts w:ascii="Cambria" w:hAnsi="Cambria"/>
                <w:b/>
                <w:bCs/>
                <w:sz w:val="18"/>
                <w:szCs w:val="18"/>
                <w:lang w:val="en-ID"/>
              </w:rPr>
            </w:pPr>
            <w:r w:rsidRPr="00131BEC">
              <w:rPr>
                <w:rFonts w:ascii="Cambria" w:hAnsi="Cambria"/>
                <w:b/>
                <w:bCs/>
                <w:sz w:val="18"/>
                <w:szCs w:val="18"/>
                <w:lang w:val="en-ID"/>
              </w:rPr>
              <w:t>F3 (g)</w:t>
            </w:r>
          </w:p>
        </w:tc>
        <w:tc>
          <w:tcPr>
            <w:tcW w:w="635" w:type="dxa"/>
            <w:tcBorders>
              <w:top w:val="single" w:sz="4" w:space="0" w:color="auto"/>
              <w:bottom w:val="single" w:sz="4" w:space="0" w:color="auto"/>
            </w:tcBorders>
            <w:hideMark/>
          </w:tcPr>
          <w:p w14:paraId="71F13AEC" w14:textId="75E0E559" w:rsidR="00131BEC" w:rsidRPr="00131BEC" w:rsidRDefault="00131BEC">
            <w:pPr>
              <w:jc w:val="both"/>
              <w:rPr>
                <w:rFonts w:ascii="Cambria" w:hAnsi="Cambria"/>
                <w:b/>
                <w:bCs/>
                <w:sz w:val="18"/>
                <w:szCs w:val="18"/>
                <w:lang w:val="en-ID"/>
              </w:rPr>
            </w:pPr>
            <w:r w:rsidRPr="00131BEC">
              <w:rPr>
                <w:rFonts w:ascii="Cambria" w:hAnsi="Cambria"/>
                <w:b/>
                <w:bCs/>
                <w:sz w:val="18"/>
                <w:szCs w:val="18"/>
                <w:lang w:val="en-ID"/>
              </w:rPr>
              <w:t>F4 (g)</w:t>
            </w:r>
          </w:p>
        </w:tc>
      </w:tr>
      <w:tr w:rsidR="00131BEC" w:rsidRPr="00131BEC" w14:paraId="78A9D377" w14:textId="77777777" w:rsidTr="00FE7A42">
        <w:tc>
          <w:tcPr>
            <w:tcW w:w="1413" w:type="dxa"/>
            <w:tcBorders>
              <w:top w:val="single" w:sz="4" w:space="0" w:color="auto"/>
            </w:tcBorders>
            <w:hideMark/>
          </w:tcPr>
          <w:p w14:paraId="7B5C37DE" w14:textId="77777777" w:rsidR="00131BEC" w:rsidRPr="00131BEC" w:rsidRDefault="00131BEC">
            <w:pPr>
              <w:jc w:val="both"/>
              <w:rPr>
                <w:rFonts w:ascii="Cambria" w:hAnsi="Cambria"/>
                <w:sz w:val="18"/>
                <w:szCs w:val="18"/>
                <w:lang w:val="en-ID"/>
              </w:rPr>
            </w:pPr>
            <w:proofErr w:type="spellStart"/>
            <w:r w:rsidRPr="00131BEC">
              <w:rPr>
                <w:rFonts w:ascii="Cambria" w:hAnsi="Cambria"/>
                <w:sz w:val="18"/>
                <w:szCs w:val="18"/>
                <w:lang w:val="en-ID"/>
              </w:rPr>
              <w:t>Tepung</w:t>
            </w:r>
            <w:proofErr w:type="spellEnd"/>
            <w:r w:rsidRPr="00131BEC">
              <w:rPr>
                <w:rFonts w:ascii="Cambria" w:hAnsi="Cambria"/>
                <w:sz w:val="18"/>
                <w:szCs w:val="18"/>
                <w:lang w:val="en-ID"/>
              </w:rPr>
              <w:t xml:space="preserve"> </w:t>
            </w:r>
            <w:proofErr w:type="spellStart"/>
            <w:r w:rsidRPr="00131BEC">
              <w:rPr>
                <w:rFonts w:ascii="Cambria" w:hAnsi="Cambria"/>
                <w:sz w:val="18"/>
                <w:szCs w:val="18"/>
                <w:lang w:val="en-ID"/>
              </w:rPr>
              <w:t>terigu</w:t>
            </w:r>
            <w:proofErr w:type="spellEnd"/>
          </w:p>
        </w:tc>
        <w:tc>
          <w:tcPr>
            <w:tcW w:w="629" w:type="dxa"/>
            <w:tcBorders>
              <w:top w:val="single" w:sz="4" w:space="0" w:color="auto"/>
            </w:tcBorders>
            <w:hideMark/>
          </w:tcPr>
          <w:p w14:paraId="1BD827CD"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150</w:t>
            </w:r>
          </w:p>
        </w:tc>
        <w:tc>
          <w:tcPr>
            <w:tcW w:w="652" w:type="dxa"/>
            <w:tcBorders>
              <w:top w:val="single" w:sz="4" w:space="0" w:color="auto"/>
            </w:tcBorders>
            <w:hideMark/>
          </w:tcPr>
          <w:p w14:paraId="4E7BA988"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112.5</w:t>
            </w:r>
          </w:p>
        </w:tc>
        <w:tc>
          <w:tcPr>
            <w:tcW w:w="600" w:type="dxa"/>
            <w:tcBorders>
              <w:top w:val="single" w:sz="4" w:space="0" w:color="auto"/>
            </w:tcBorders>
            <w:hideMark/>
          </w:tcPr>
          <w:p w14:paraId="792399E0"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75</w:t>
            </w:r>
          </w:p>
        </w:tc>
        <w:tc>
          <w:tcPr>
            <w:tcW w:w="652" w:type="dxa"/>
            <w:tcBorders>
              <w:top w:val="single" w:sz="4" w:space="0" w:color="auto"/>
            </w:tcBorders>
            <w:hideMark/>
          </w:tcPr>
          <w:p w14:paraId="65D30D8D"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37.5</w:t>
            </w:r>
          </w:p>
        </w:tc>
        <w:tc>
          <w:tcPr>
            <w:tcW w:w="635" w:type="dxa"/>
            <w:tcBorders>
              <w:top w:val="single" w:sz="4" w:space="0" w:color="auto"/>
            </w:tcBorders>
            <w:hideMark/>
          </w:tcPr>
          <w:p w14:paraId="6CBBB8B4"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w:t>
            </w:r>
          </w:p>
        </w:tc>
      </w:tr>
      <w:tr w:rsidR="00131BEC" w:rsidRPr="00131BEC" w14:paraId="687A6CEE" w14:textId="77777777" w:rsidTr="00FE7A42">
        <w:tc>
          <w:tcPr>
            <w:tcW w:w="1413" w:type="dxa"/>
            <w:hideMark/>
          </w:tcPr>
          <w:p w14:paraId="262262A9" w14:textId="77777777" w:rsidR="00131BEC" w:rsidRPr="00131BEC" w:rsidRDefault="00131BEC">
            <w:pPr>
              <w:jc w:val="both"/>
              <w:rPr>
                <w:rFonts w:ascii="Cambria" w:hAnsi="Cambria"/>
                <w:sz w:val="18"/>
                <w:szCs w:val="18"/>
                <w:lang w:val="en-ID"/>
              </w:rPr>
            </w:pPr>
            <w:proofErr w:type="spellStart"/>
            <w:r w:rsidRPr="00131BEC">
              <w:rPr>
                <w:rFonts w:ascii="Cambria" w:hAnsi="Cambria"/>
                <w:sz w:val="18"/>
                <w:szCs w:val="18"/>
                <w:lang w:val="en-ID"/>
              </w:rPr>
              <w:t>Tepung</w:t>
            </w:r>
            <w:proofErr w:type="spellEnd"/>
            <w:r w:rsidRPr="00131BEC">
              <w:rPr>
                <w:rFonts w:ascii="Cambria" w:hAnsi="Cambria"/>
                <w:sz w:val="18"/>
                <w:szCs w:val="18"/>
                <w:lang w:val="en-ID"/>
              </w:rPr>
              <w:t xml:space="preserve"> ubi </w:t>
            </w:r>
            <w:proofErr w:type="spellStart"/>
            <w:r w:rsidRPr="00131BEC">
              <w:rPr>
                <w:rFonts w:ascii="Cambria" w:hAnsi="Cambria"/>
                <w:sz w:val="18"/>
                <w:szCs w:val="18"/>
                <w:lang w:val="en-ID"/>
              </w:rPr>
              <w:t>ungu</w:t>
            </w:r>
            <w:proofErr w:type="spellEnd"/>
          </w:p>
        </w:tc>
        <w:tc>
          <w:tcPr>
            <w:tcW w:w="629" w:type="dxa"/>
            <w:hideMark/>
          </w:tcPr>
          <w:p w14:paraId="102FAC90"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w:t>
            </w:r>
          </w:p>
        </w:tc>
        <w:tc>
          <w:tcPr>
            <w:tcW w:w="652" w:type="dxa"/>
            <w:hideMark/>
          </w:tcPr>
          <w:p w14:paraId="0FFBC883"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37.5</w:t>
            </w:r>
          </w:p>
        </w:tc>
        <w:tc>
          <w:tcPr>
            <w:tcW w:w="600" w:type="dxa"/>
            <w:hideMark/>
          </w:tcPr>
          <w:p w14:paraId="494805E8"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75</w:t>
            </w:r>
          </w:p>
        </w:tc>
        <w:tc>
          <w:tcPr>
            <w:tcW w:w="652" w:type="dxa"/>
            <w:hideMark/>
          </w:tcPr>
          <w:p w14:paraId="6B177796"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112.5</w:t>
            </w:r>
          </w:p>
        </w:tc>
        <w:tc>
          <w:tcPr>
            <w:tcW w:w="635" w:type="dxa"/>
            <w:hideMark/>
          </w:tcPr>
          <w:p w14:paraId="7E539B51"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150</w:t>
            </w:r>
          </w:p>
        </w:tc>
      </w:tr>
      <w:tr w:rsidR="00131BEC" w:rsidRPr="00131BEC" w14:paraId="014B8D7C" w14:textId="77777777" w:rsidTr="00FE7A42">
        <w:tc>
          <w:tcPr>
            <w:tcW w:w="1413" w:type="dxa"/>
            <w:hideMark/>
          </w:tcPr>
          <w:p w14:paraId="3BB1E610"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Margarin</w:t>
            </w:r>
          </w:p>
        </w:tc>
        <w:tc>
          <w:tcPr>
            <w:tcW w:w="629" w:type="dxa"/>
            <w:hideMark/>
          </w:tcPr>
          <w:p w14:paraId="32D3DA77"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100</w:t>
            </w:r>
          </w:p>
        </w:tc>
        <w:tc>
          <w:tcPr>
            <w:tcW w:w="652" w:type="dxa"/>
            <w:hideMark/>
          </w:tcPr>
          <w:p w14:paraId="0470DB3B"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100</w:t>
            </w:r>
          </w:p>
        </w:tc>
        <w:tc>
          <w:tcPr>
            <w:tcW w:w="600" w:type="dxa"/>
            <w:hideMark/>
          </w:tcPr>
          <w:p w14:paraId="78970B4C"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100</w:t>
            </w:r>
          </w:p>
        </w:tc>
        <w:tc>
          <w:tcPr>
            <w:tcW w:w="652" w:type="dxa"/>
            <w:hideMark/>
          </w:tcPr>
          <w:p w14:paraId="55994A89"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100</w:t>
            </w:r>
          </w:p>
        </w:tc>
        <w:tc>
          <w:tcPr>
            <w:tcW w:w="635" w:type="dxa"/>
            <w:hideMark/>
          </w:tcPr>
          <w:p w14:paraId="74CD4135"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100</w:t>
            </w:r>
          </w:p>
        </w:tc>
      </w:tr>
      <w:tr w:rsidR="00131BEC" w:rsidRPr="00131BEC" w14:paraId="485DD1A9" w14:textId="77777777" w:rsidTr="00FE7A42">
        <w:tc>
          <w:tcPr>
            <w:tcW w:w="1413" w:type="dxa"/>
            <w:hideMark/>
          </w:tcPr>
          <w:p w14:paraId="4A7F9202"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 xml:space="preserve">Gula </w:t>
            </w:r>
            <w:proofErr w:type="spellStart"/>
            <w:r w:rsidRPr="00131BEC">
              <w:rPr>
                <w:rFonts w:ascii="Cambria" w:hAnsi="Cambria"/>
                <w:sz w:val="18"/>
                <w:szCs w:val="18"/>
                <w:lang w:val="en-ID"/>
              </w:rPr>
              <w:t>merah</w:t>
            </w:r>
            <w:proofErr w:type="spellEnd"/>
          </w:p>
        </w:tc>
        <w:tc>
          <w:tcPr>
            <w:tcW w:w="629" w:type="dxa"/>
            <w:hideMark/>
          </w:tcPr>
          <w:p w14:paraId="1B1126E7"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50</w:t>
            </w:r>
          </w:p>
        </w:tc>
        <w:tc>
          <w:tcPr>
            <w:tcW w:w="652" w:type="dxa"/>
            <w:hideMark/>
          </w:tcPr>
          <w:p w14:paraId="7C0E387E"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50</w:t>
            </w:r>
          </w:p>
        </w:tc>
        <w:tc>
          <w:tcPr>
            <w:tcW w:w="600" w:type="dxa"/>
            <w:hideMark/>
          </w:tcPr>
          <w:p w14:paraId="489A2C0A"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50</w:t>
            </w:r>
          </w:p>
        </w:tc>
        <w:tc>
          <w:tcPr>
            <w:tcW w:w="652" w:type="dxa"/>
            <w:hideMark/>
          </w:tcPr>
          <w:p w14:paraId="5D98559F"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50</w:t>
            </w:r>
          </w:p>
        </w:tc>
        <w:tc>
          <w:tcPr>
            <w:tcW w:w="635" w:type="dxa"/>
            <w:hideMark/>
          </w:tcPr>
          <w:p w14:paraId="3819945F"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50</w:t>
            </w:r>
          </w:p>
        </w:tc>
      </w:tr>
      <w:tr w:rsidR="00131BEC" w:rsidRPr="00131BEC" w14:paraId="53EA81B5" w14:textId="77777777" w:rsidTr="00FE7A42">
        <w:tc>
          <w:tcPr>
            <w:tcW w:w="1413" w:type="dxa"/>
            <w:hideMark/>
          </w:tcPr>
          <w:p w14:paraId="52410F5E" w14:textId="2D3FE542" w:rsidR="00131BEC" w:rsidRPr="00131BEC" w:rsidRDefault="00131BEC">
            <w:pPr>
              <w:jc w:val="both"/>
              <w:rPr>
                <w:rFonts w:ascii="Cambria" w:hAnsi="Cambria"/>
                <w:sz w:val="18"/>
                <w:szCs w:val="18"/>
                <w:lang w:val="en-ID"/>
              </w:rPr>
            </w:pPr>
            <w:r w:rsidRPr="00131BEC">
              <w:rPr>
                <w:rFonts w:ascii="Cambria" w:hAnsi="Cambria"/>
                <w:sz w:val="18"/>
                <w:szCs w:val="18"/>
                <w:lang w:val="en-ID"/>
              </w:rPr>
              <w:t xml:space="preserve">Kuning </w:t>
            </w:r>
            <w:proofErr w:type="spellStart"/>
            <w:r w:rsidRPr="00131BEC">
              <w:rPr>
                <w:rFonts w:ascii="Cambria" w:hAnsi="Cambria"/>
                <w:sz w:val="18"/>
                <w:szCs w:val="18"/>
                <w:lang w:val="en-ID"/>
              </w:rPr>
              <w:t>telur</w:t>
            </w:r>
            <w:proofErr w:type="spellEnd"/>
            <w:r w:rsidR="00D4116A">
              <w:rPr>
                <w:rFonts w:ascii="Cambria" w:hAnsi="Cambria"/>
                <w:sz w:val="18"/>
                <w:szCs w:val="18"/>
                <w:lang w:val="en-ID"/>
              </w:rPr>
              <w:t xml:space="preserve"> </w:t>
            </w:r>
            <w:proofErr w:type="spellStart"/>
            <w:r w:rsidR="00D4116A">
              <w:rPr>
                <w:rFonts w:ascii="Cambria" w:hAnsi="Cambria"/>
                <w:sz w:val="18"/>
                <w:szCs w:val="18"/>
                <w:lang w:val="en-ID"/>
              </w:rPr>
              <w:t>ayam</w:t>
            </w:r>
            <w:proofErr w:type="spellEnd"/>
            <w:r w:rsidR="00D4116A">
              <w:rPr>
                <w:rFonts w:ascii="Cambria" w:hAnsi="Cambria"/>
                <w:sz w:val="18"/>
                <w:szCs w:val="18"/>
                <w:lang w:val="en-ID"/>
              </w:rPr>
              <w:t xml:space="preserve"> (</w:t>
            </w:r>
            <w:proofErr w:type="spellStart"/>
            <w:r w:rsidR="00D4116A">
              <w:rPr>
                <w:rFonts w:ascii="Cambria" w:hAnsi="Cambria"/>
                <w:sz w:val="18"/>
                <w:szCs w:val="18"/>
                <w:lang w:val="en-ID"/>
              </w:rPr>
              <w:t>butir</w:t>
            </w:r>
            <w:proofErr w:type="spellEnd"/>
            <w:r w:rsidR="00D4116A">
              <w:rPr>
                <w:rFonts w:ascii="Cambria" w:hAnsi="Cambria"/>
                <w:sz w:val="18"/>
                <w:szCs w:val="18"/>
                <w:lang w:val="en-ID"/>
              </w:rPr>
              <w:t>)</w:t>
            </w:r>
          </w:p>
        </w:tc>
        <w:tc>
          <w:tcPr>
            <w:tcW w:w="629" w:type="dxa"/>
            <w:hideMark/>
          </w:tcPr>
          <w:p w14:paraId="24F77439" w14:textId="05F2E6B5" w:rsidR="00131BEC" w:rsidRPr="00131BEC" w:rsidRDefault="00131BEC">
            <w:pPr>
              <w:jc w:val="both"/>
              <w:rPr>
                <w:rFonts w:ascii="Cambria" w:hAnsi="Cambria"/>
                <w:sz w:val="18"/>
                <w:szCs w:val="18"/>
                <w:lang w:val="en-ID"/>
              </w:rPr>
            </w:pPr>
            <w:r w:rsidRPr="00131BEC">
              <w:rPr>
                <w:rFonts w:ascii="Cambria" w:hAnsi="Cambria"/>
                <w:sz w:val="18"/>
                <w:szCs w:val="18"/>
                <w:lang w:val="en-ID"/>
              </w:rPr>
              <w:t xml:space="preserve">1 </w:t>
            </w:r>
          </w:p>
        </w:tc>
        <w:tc>
          <w:tcPr>
            <w:tcW w:w="652" w:type="dxa"/>
            <w:hideMark/>
          </w:tcPr>
          <w:p w14:paraId="443277D6" w14:textId="61A8DED7" w:rsidR="00131BEC" w:rsidRPr="00131BEC" w:rsidRDefault="00131BEC">
            <w:pPr>
              <w:jc w:val="both"/>
              <w:rPr>
                <w:rFonts w:ascii="Cambria" w:hAnsi="Cambria"/>
                <w:sz w:val="18"/>
                <w:szCs w:val="18"/>
                <w:lang w:val="en-ID"/>
              </w:rPr>
            </w:pPr>
            <w:r w:rsidRPr="00131BEC">
              <w:rPr>
                <w:rFonts w:ascii="Cambria" w:hAnsi="Cambria"/>
                <w:sz w:val="18"/>
                <w:szCs w:val="18"/>
                <w:lang w:val="en-ID"/>
              </w:rPr>
              <w:t xml:space="preserve">1 </w:t>
            </w:r>
          </w:p>
        </w:tc>
        <w:tc>
          <w:tcPr>
            <w:tcW w:w="600" w:type="dxa"/>
            <w:hideMark/>
          </w:tcPr>
          <w:p w14:paraId="5F2C315F" w14:textId="38191ECF" w:rsidR="00131BEC" w:rsidRPr="00131BEC" w:rsidRDefault="00131BEC">
            <w:pPr>
              <w:jc w:val="both"/>
              <w:rPr>
                <w:rFonts w:ascii="Cambria" w:hAnsi="Cambria"/>
                <w:sz w:val="18"/>
                <w:szCs w:val="18"/>
                <w:lang w:val="en-ID"/>
              </w:rPr>
            </w:pPr>
            <w:r w:rsidRPr="00131BEC">
              <w:rPr>
                <w:rFonts w:ascii="Cambria" w:hAnsi="Cambria"/>
                <w:sz w:val="18"/>
                <w:szCs w:val="18"/>
                <w:lang w:val="en-ID"/>
              </w:rPr>
              <w:t xml:space="preserve">1 </w:t>
            </w:r>
          </w:p>
        </w:tc>
        <w:tc>
          <w:tcPr>
            <w:tcW w:w="652" w:type="dxa"/>
            <w:hideMark/>
          </w:tcPr>
          <w:p w14:paraId="3D6EE12E" w14:textId="0300D5AF" w:rsidR="00131BEC" w:rsidRPr="00131BEC" w:rsidRDefault="00131BEC">
            <w:pPr>
              <w:jc w:val="both"/>
              <w:rPr>
                <w:rFonts w:ascii="Cambria" w:hAnsi="Cambria"/>
                <w:sz w:val="18"/>
                <w:szCs w:val="18"/>
                <w:lang w:val="en-ID"/>
              </w:rPr>
            </w:pPr>
            <w:r w:rsidRPr="00131BEC">
              <w:rPr>
                <w:rFonts w:ascii="Cambria" w:hAnsi="Cambria"/>
                <w:sz w:val="18"/>
                <w:szCs w:val="18"/>
                <w:lang w:val="en-ID"/>
              </w:rPr>
              <w:t xml:space="preserve">1 </w:t>
            </w:r>
          </w:p>
        </w:tc>
        <w:tc>
          <w:tcPr>
            <w:tcW w:w="635" w:type="dxa"/>
            <w:hideMark/>
          </w:tcPr>
          <w:p w14:paraId="61C1691E" w14:textId="15793289" w:rsidR="00131BEC" w:rsidRPr="00131BEC" w:rsidRDefault="00131BEC">
            <w:pPr>
              <w:jc w:val="both"/>
              <w:rPr>
                <w:rFonts w:ascii="Cambria" w:hAnsi="Cambria"/>
                <w:sz w:val="18"/>
                <w:szCs w:val="18"/>
                <w:lang w:val="en-ID"/>
              </w:rPr>
            </w:pPr>
            <w:r w:rsidRPr="00131BEC">
              <w:rPr>
                <w:rFonts w:ascii="Cambria" w:hAnsi="Cambria"/>
                <w:sz w:val="18"/>
                <w:szCs w:val="18"/>
                <w:lang w:val="en-ID"/>
              </w:rPr>
              <w:t xml:space="preserve">1 </w:t>
            </w:r>
          </w:p>
        </w:tc>
      </w:tr>
      <w:tr w:rsidR="00131BEC" w:rsidRPr="00131BEC" w14:paraId="46B89DD6" w14:textId="77777777" w:rsidTr="00FE7A42">
        <w:tc>
          <w:tcPr>
            <w:tcW w:w="1413" w:type="dxa"/>
            <w:hideMark/>
          </w:tcPr>
          <w:p w14:paraId="667EE67A"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 xml:space="preserve">Jahe </w:t>
            </w:r>
            <w:proofErr w:type="spellStart"/>
            <w:r w:rsidRPr="00131BEC">
              <w:rPr>
                <w:rFonts w:ascii="Cambria" w:hAnsi="Cambria"/>
                <w:sz w:val="18"/>
                <w:szCs w:val="18"/>
                <w:lang w:val="en-ID"/>
              </w:rPr>
              <w:t>bubuk</w:t>
            </w:r>
            <w:proofErr w:type="spellEnd"/>
          </w:p>
        </w:tc>
        <w:tc>
          <w:tcPr>
            <w:tcW w:w="629" w:type="dxa"/>
            <w:hideMark/>
          </w:tcPr>
          <w:p w14:paraId="2D5CBB7A"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10</w:t>
            </w:r>
          </w:p>
        </w:tc>
        <w:tc>
          <w:tcPr>
            <w:tcW w:w="652" w:type="dxa"/>
            <w:hideMark/>
          </w:tcPr>
          <w:p w14:paraId="5990F309"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10</w:t>
            </w:r>
          </w:p>
        </w:tc>
        <w:tc>
          <w:tcPr>
            <w:tcW w:w="600" w:type="dxa"/>
            <w:hideMark/>
          </w:tcPr>
          <w:p w14:paraId="28C8978F"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10</w:t>
            </w:r>
          </w:p>
        </w:tc>
        <w:tc>
          <w:tcPr>
            <w:tcW w:w="652" w:type="dxa"/>
            <w:hideMark/>
          </w:tcPr>
          <w:p w14:paraId="326B0305"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10</w:t>
            </w:r>
          </w:p>
        </w:tc>
        <w:tc>
          <w:tcPr>
            <w:tcW w:w="635" w:type="dxa"/>
            <w:hideMark/>
          </w:tcPr>
          <w:p w14:paraId="4E5FA7E3"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10</w:t>
            </w:r>
          </w:p>
        </w:tc>
      </w:tr>
      <w:tr w:rsidR="00131BEC" w:rsidRPr="00131BEC" w14:paraId="153997D0" w14:textId="77777777" w:rsidTr="00FE7A42">
        <w:tc>
          <w:tcPr>
            <w:tcW w:w="1413" w:type="dxa"/>
            <w:hideMark/>
          </w:tcPr>
          <w:p w14:paraId="338BE393" w14:textId="77777777" w:rsidR="00131BEC" w:rsidRPr="00131BEC" w:rsidRDefault="00131BEC">
            <w:pPr>
              <w:jc w:val="both"/>
              <w:rPr>
                <w:rFonts w:ascii="Cambria" w:hAnsi="Cambria"/>
                <w:sz w:val="18"/>
                <w:szCs w:val="18"/>
                <w:lang w:val="en-ID"/>
              </w:rPr>
            </w:pPr>
            <w:proofErr w:type="spellStart"/>
            <w:r w:rsidRPr="00131BEC">
              <w:rPr>
                <w:rFonts w:ascii="Cambria" w:hAnsi="Cambria"/>
                <w:sz w:val="18"/>
                <w:szCs w:val="18"/>
                <w:lang w:val="en-ID"/>
              </w:rPr>
              <w:t>Kayumanis</w:t>
            </w:r>
            <w:proofErr w:type="spellEnd"/>
            <w:r w:rsidRPr="00131BEC">
              <w:rPr>
                <w:rFonts w:ascii="Cambria" w:hAnsi="Cambria"/>
                <w:sz w:val="18"/>
                <w:szCs w:val="18"/>
                <w:lang w:val="en-ID"/>
              </w:rPr>
              <w:t xml:space="preserve"> </w:t>
            </w:r>
            <w:proofErr w:type="spellStart"/>
            <w:r w:rsidRPr="00131BEC">
              <w:rPr>
                <w:rFonts w:ascii="Cambria" w:hAnsi="Cambria"/>
                <w:sz w:val="18"/>
                <w:szCs w:val="18"/>
                <w:lang w:val="en-ID"/>
              </w:rPr>
              <w:t>bubuk</w:t>
            </w:r>
            <w:proofErr w:type="spellEnd"/>
          </w:p>
        </w:tc>
        <w:tc>
          <w:tcPr>
            <w:tcW w:w="629" w:type="dxa"/>
            <w:hideMark/>
          </w:tcPr>
          <w:p w14:paraId="18A64729"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10</w:t>
            </w:r>
          </w:p>
        </w:tc>
        <w:tc>
          <w:tcPr>
            <w:tcW w:w="652" w:type="dxa"/>
            <w:hideMark/>
          </w:tcPr>
          <w:p w14:paraId="3E04B1AF"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10</w:t>
            </w:r>
          </w:p>
        </w:tc>
        <w:tc>
          <w:tcPr>
            <w:tcW w:w="600" w:type="dxa"/>
            <w:hideMark/>
          </w:tcPr>
          <w:p w14:paraId="55214C7B"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10</w:t>
            </w:r>
          </w:p>
        </w:tc>
        <w:tc>
          <w:tcPr>
            <w:tcW w:w="652" w:type="dxa"/>
            <w:hideMark/>
          </w:tcPr>
          <w:p w14:paraId="797FF694"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10</w:t>
            </w:r>
          </w:p>
        </w:tc>
        <w:tc>
          <w:tcPr>
            <w:tcW w:w="635" w:type="dxa"/>
            <w:hideMark/>
          </w:tcPr>
          <w:p w14:paraId="3D237B2F"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10</w:t>
            </w:r>
          </w:p>
        </w:tc>
      </w:tr>
      <w:tr w:rsidR="00131BEC" w:rsidRPr="00131BEC" w14:paraId="0A7DA5AE" w14:textId="77777777" w:rsidTr="00FE7A42">
        <w:tc>
          <w:tcPr>
            <w:tcW w:w="1413" w:type="dxa"/>
            <w:hideMark/>
          </w:tcPr>
          <w:p w14:paraId="5D81C2F4" w14:textId="77777777" w:rsidR="00131BEC" w:rsidRPr="00131BEC" w:rsidRDefault="00131BEC">
            <w:pPr>
              <w:jc w:val="both"/>
              <w:rPr>
                <w:rFonts w:ascii="Cambria" w:hAnsi="Cambria"/>
                <w:sz w:val="18"/>
                <w:szCs w:val="18"/>
                <w:lang w:val="en-ID"/>
              </w:rPr>
            </w:pPr>
            <w:proofErr w:type="spellStart"/>
            <w:r w:rsidRPr="00131BEC">
              <w:rPr>
                <w:rFonts w:ascii="Cambria" w:hAnsi="Cambria"/>
                <w:sz w:val="18"/>
                <w:szCs w:val="18"/>
                <w:lang w:val="en-ID"/>
              </w:rPr>
              <w:t>Kencur</w:t>
            </w:r>
            <w:proofErr w:type="spellEnd"/>
            <w:r w:rsidRPr="00131BEC">
              <w:rPr>
                <w:rFonts w:ascii="Cambria" w:hAnsi="Cambria"/>
                <w:sz w:val="18"/>
                <w:szCs w:val="18"/>
                <w:lang w:val="en-ID"/>
              </w:rPr>
              <w:t xml:space="preserve"> </w:t>
            </w:r>
            <w:proofErr w:type="spellStart"/>
            <w:r w:rsidRPr="00131BEC">
              <w:rPr>
                <w:rFonts w:ascii="Cambria" w:hAnsi="Cambria"/>
                <w:sz w:val="18"/>
                <w:szCs w:val="18"/>
                <w:lang w:val="en-ID"/>
              </w:rPr>
              <w:t>bubuk</w:t>
            </w:r>
            <w:proofErr w:type="spellEnd"/>
          </w:p>
        </w:tc>
        <w:tc>
          <w:tcPr>
            <w:tcW w:w="629" w:type="dxa"/>
            <w:hideMark/>
          </w:tcPr>
          <w:p w14:paraId="5620F3EA"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52" w:type="dxa"/>
            <w:hideMark/>
          </w:tcPr>
          <w:p w14:paraId="493A39B7"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00" w:type="dxa"/>
            <w:hideMark/>
          </w:tcPr>
          <w:p w14:paraId="59C4F5EC"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52" w:type="dxa"/>
            <w:hideMark/>
          </w:tcPr>
          <w:p w14:paraId="741B53C5"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35" w:type="dxa"/>
            <w:hideMark/>
          </w:tcPr>
          <w:p w14:paraId="5769A221"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r>
      <w:tr w:rsidR="00131BEC" w:rsidRPr="00131BEC" w14:paraId="444BD9F3" w14:textId="77777777" w:rsidTr="00FE7A42">
        <w:tc>
          <w:tcPr>
            <w:tcW w:w="1413" w:type="dxa"/>
            <w:hideMark/>
          </w:tcPr>
          <w:p w14:paraId="1149C7F3" w14:textId="77777777" w:rsidR="00131BEC" w:rsidRPr="00131BEC" w:rsidRDefault="00131BEC">
            <w:pPr>
              <w:jc w:val="both"/>
              <w:rPr>
                <w:rFonts w:ascii="Cambria" w:hAnsi="Cambria"/>
                <w:sz w:val="18"/>
                <w:szCs w:val="18"/>
                <w:lang w:val="en-ID"/>
              </w:rPr>
            </w:pPr>
            <w:proofErr w:type="spellStart"/>
            <w:r w:rsidRPr="00131BEC">
              <w:rPr>
                <w:rFonts w:ascii="Cambria" w:hAnsi="Cambria"/>
                <w:sz w:val="18"/>
                <w:szCs w:val="18"/>
                <w:lang w:val="en-ID"/>
              </w:rPr>
              <w:t>Kunyit</w:t>
            </w:r>
            <w:proofErr w:type="spellEnd"/>
            <w:r w:rsidRPr="00131BEC">
              <w:rPr>
                <w:rFonts w:ascii="Cambria" w:hAnsi="Cambria"/>
                <w:sz w:val="18"/>
                <w:szCs w:val="18"/>
                <w:lang w:val="en-ID"/>
              </w:rPr>
              <w:t xml:space="preserve"> </w:t>
            </w:r>
            <w:proofErr w:type="spellStart"/>
            <w:r w:rsidRPr="00131BEC">
              <w:rPr>
                <w:rFonts w:ascii="Cambria" w:hAnsi="Cambria"/>
                <w:sz w:val="18"/>
                <w:szCs w:val="18"/>
                <w:lang w:val="en-ID"/>
              </w:rPr>
              <w:t>bubuk</w:t>
            </w:r>
            <w:proofErr w:type="spellEnd"/>
          </w:p>
        </w:tc>
        <w:tc>
          <w:tcPr>
            <w:tcW w:w="629" w:type="dxa"/>
            <w:hideMark/>
          </w:tcPr>
          <w:p w14:paraId="5688708B"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52" w:type="dxa"/>
            <w:hideMark/>
          </w:tcPr>
          <w:p w14:paraId="4B527856"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00" w:type="dxa"/>
            <w:hideMark/>
          </w:tcPr>
          <w:p w14:paraId="35DF4E0A"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52" w:type="dxa"/>
            <w:hideMark/>
          </w:tcPr>
          <w:p w14:paraId="52C1A475"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35" w:type="dxa"/>
            <w:hideMark/>
          </w:tcPr>
          <w:p w14:paraId="69CEF9A3"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r>
      <w:tr w:rsidR="00131BEC" w:rsidRPr="00131BEC" w14:paraId="159D70E0" w14:textId="77777777" w:rsidTr="00FE7A42">
        <w:tc>
          <w:tcPr>
            <w:tcW w:w="1413" w:type="dxa"/>
            <w:hideMark/>
          </w:tcPr>
          <w:p w14:paraId="2CF52329"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 xml:space="preserve">Sereh </w:t>
            </w:r>
            <w:proofErr w:type="spellStart"/>
            <w:r w:rsidRPr="00131BEC">
              <w:rPr>
                <w:rFonts w:ascii="Cambria" w:hAnsi="Cambria"/>
                <w:sz w:val="18"/>
                <w:szCs w:val="18"/>
                <w:lang w:val="en-ID"/>
              </w:rPr>
              <w:t>bubuk</w:t>
            </w:r>
            <w:proofErr w:type="spellEnd"/>
          </w:p>
        </w:tc>
        <w:tc>
          <w:tcPr>
            <w:tcW w:w="629" w:type="dxa"/>
            <w:hideMark/>
          </w:tcPr>
          <w:p w14:paraId="5352943D"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52" w:type="dxa"/>
            <w:hideMark/>
          </w:tcPr>
          <w:p w14:paraId="220DD8C8"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00" w:type="dxa"/>
            <w:hideMark/>
          </w:tcPr>
          <w:p w14:paraId="0842245C"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52" w:type="dxa"/>
            <w:hideMark/>
          </w:tcPr>
          <w:p w14:paraId="6C799DA2"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35" w:type="dxa"/>
            <w:hideMark/>
          </w:tcPr>
          <w:p w14:paraId="10A1433F"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r>
      <w:tr w:rsidR="00131BEC" w:rsidRPr="00131BEC" w14:paraId="3FDA6DCD" w14:textId="77777777" w:rsidTr="00FE7A42">
        <w:tc>
          <w:tcPr>
            <w:tcW w:w="1413" w:type="dxa"/>
            <w:hideMark/>
          </w:tcPr>
          <w:p w14:paraId="54000290" w14:textId="77777777" w:rsidR="00131BEC" w:rsidRPr="00131BEC" w:rsidRDefault="00131BEC">
            <w:pPr>
              <w:jc w:val="both"/>
              <w:rPr>
                <w:rFonts w:ascii="Cambria" w:hAnsi="Cambria"/>
                <w:sz w:val="18"/>
                <w:szCs w:val="18"/>
                <w:lang w:val="en-ID"/>
              </w:rPr>
            </w:pPr>
            <w:proofErr w:type="spellStart"/>
            <w:r w:rsidRPr="00131BEC">
              <w:rPr>
                <w:rFonts w:ascii="Cambria" w:hAnsi="Cambria"/>
                <w:sz w:val="18"/>
                <w:szCs w:val="18"/>
                <w:lang w:val="en-ID"/>
              </w:rPr>
              <w:t>Temulawak</w:t>
            </w:r>
            <w:proofErr w:type="spellEnd"/>
            <w:r w:rsidRPr="00131BEC">
              <w:rPr>
                <w:rFonts w:ascii="Cambria" w:hAnsi="Cambria"/>
                <w:sz w:val="18"/>
                <w:szCs w:val="18"/>
                <w:lang w:val="en-ID"/>
              </w:rPr>
              <w:t xml:space="preserve"> </w:t>
            </w:r>
            <w:proofErr w:type="spellStart"/>
            <w:r w:rsidRPr="00131BEC">
              <w:rPr>
                <w:rFonts w:ascii="Cambria" w:hAnsi="Cambria"/>
                <w:sz w:val="18"/>
                <w:szCs w:val="18"/>
                <w:lang w:val="en-ID"/>
              </w:rPr>
              <w:t>bubuk</w:t>
            </w:r>
            <w:proofErr w:type="spellEnd"/>
          </w:p>
        </w:tc>
        <w:tc>
          <w:tcPr>
            <w:tcW w:w="629" w:type="dxa"/>
            <w:hideMark/>
          </w:tcPr>
          <w:p w14:paraId="1F6F2934"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52" w:type="dxa"/>
            <w:hideMark/>
          </w:tcPr>
          <w:p w14:paraId="068C7008"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00" w:type="dxa"/>
            <w:hideMark/>
          </w:tcPr>
          <w:p w14:paraId="54B2A8F7"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52" w:type="dxa"/>
            <w:hideMark/>
          </w:tcPr>
          <w:p w14:paraId="6508DF33"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35" w:type="dxa"/>
            <w:hideMark/>
          </w:tcPr>
          <w:p w14:paraId="20678EB5"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r>
      <w:tr w:rsidR="00131BEC" w:rsidRPr="00131BEC" w14:paraId="72495DB3" w14:textId="77777777" w:rsidTr="00FE7A42">
        <w:tc>
          <w:tcPr>
            <w:tcW w:w="1413" w:type="dxa"/>
            <w:tcBorders>
              <w:bottom w:val="single" w:sz="4" w:space="0" w:color="auto"/>
            </w:tcBorders>
            <w:hideMark/>
          </w:tcPr>
          <w:p w14:paraId="39B32638" w14:textId="77777777" w:rsidR="00131BEC" w:rsidRPr="00131BEC" w:rsidRDefault="00131BEC">
            <w:pPr>
              <w:jc w:val="both"/>
              <w:rPr>
                <w:rFonts w:ascii="Cambria" w:hAnsi="Cambria"/>
                <w:sz w:val="18"/>
                <w:szCs w:val="18"/>
                <w:lang w:val="en-ID"/>
              </w:rPr>
            </w:pPr>
            <w:proofErr w:type="spellStart"/>
            <w:r w:rsidRPr="00131BEC">
              <w:rPr>
                <w:rFonts w:ascii="Cambria" w:hAnsi="Cambria"/>
                <w:sz w:val="18"/>
                <w:szCs w:val="18"/>
                <w:lang w:val="en-ID"/>
              </w:rPr>
              <w:t>Cengkeh</w:t>
            </w:r>
            <w:proofErr w:type="spellEnd"/>
            <w:r w:rsidRPr="00131BEC">
              <w:rPr>
                <w:rFonts w:ascii="Cambria" w:hAnsi="Cambria"/>
                <w:sz w:val="18"/>
                <w:szCs w:val="18"/>
                <w:lang w:val="en-ID"/>
              </w:rPr>
              <w:t xml:space="preserve"> </w:t>
            </w:r>
            <w:proofErr w:type="spellStart"/>
            <w:r w:rsidRPr="00131BEC">
              <w:rPr>
                <w:rFonts w:ascii="Cambria" w:hAnsi="Cambria"/>
                <w:sz w:val="18"/>
                <w:szCs w:val="18"/>
                <w:lang w:val="en-ID"/>
              </w:rPr>
              <w:t>bubuk</w:t>
            </w:r>
            <w:proofErr w:type="spellEnd"/>
          </w:p>
        </w:tc>
        <w:tc>
          <w:tcPr>
            <w:tcW w:w="629" w:type="dxa"/>
            <w:tcBorders>
              <w:bottom w:val="single" w:sz="4" w:space="0" w:color="auto"/>
            </w:tcBorders>
            <w:hideMark/>
          </w:tcPr>
          <w:p w14:paraId="28CDF688"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52" w:type="dxa"/>
            <w:tcBorders>
              <w:bottom w:val="single" w:sz="4" w:space="0" w:color="auto"/>
            </w:tcBorders>
            <w:hideMark/>
          </w:tcPr>
          <w:p w14:paraId="00777E20"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00" w:type="dxa"/>
            <w:tcBorders>
              <w:bottom w:val="single" w:sz="4" w:space="0" w:color="auto"/>
            </w:tcBorders>
            <w:hideMark/>
          </w:tcPr>
          <w:p w14:paraId="032E4661"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52" w:type="dxa"/>
            <w:tcBorders>
              <w:bottom w:val="single" w:sz="4" w:space="0" w:color="auto"/>
            </w:tcBorders>
            <w:hideMark/>
          </w:tcPr>
          <w:p w14:paraId="214EA5EC"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c>
          <w:tcPr>
            <w:tcW w:w="635" w:type="dxa"/>
            <w:tcBorders>
              <w:bottom w:val="single" w:sz="4" w:space="0" w:color="auto"/>
            </w:tcBorders>
            <w:hideMark/>
          </w:tcPr>
          <w:p w14:paraId="614013ED" w14:textId="77777777" w:rsidR="00131BEC" w:rsidRPr="00131BEC" w:rsidRDefault="00131BEC">
            <w:pPr>
              <w:jc w:val="both"/>
              <w:rPr>
                <w:rFonts w:ascii="Cambria" w:hAnsi="Cambria"/>
                <w:sz w:val="18"/>
                <w:szCs w:val="18"/>
                <w:lang w:val="en-ID"/>
              </w:rPr>
            </w:pPr>
            <w:r w:rsidRPr="00131BEC">
              <w:rPr>
                <w:rFonts w:ascii="Cambria" w:hAnsi="Cambria"/>
                <w:sz w:val="18"/>
                <w:szCs w:val="18"/>
                <w:lang w:val="en-ID"/>
              </w:rPr>
              <w:t>0.4</w:t>
            </w:r>
          </w:p>
        </w:tc>
      </w:tr>
    </w:tbl>
    <w:p w14:paraId="588FD42E" w14:textId="77777777" w:rsidR="00131BEC" w:rsidRPr="00090E54" w:rsidRDefault="00131BEC" w:rsidP="003F57CC">
      <w:pPr>
        <w:spacing w:after="0" w:line="240" w:lineRule="auto"/>
        <w:jc w:val="both"/>
        <w:rPr>
          <w:rFonts w:ascii="Cambria" w:hAnsi="Cambria"/>
          <w:lang w:val="en-ID"/>
        </w:rPr>
      </w:pPr>
    </w:p>
    <w:p w14:paraId="148616C4" w14:textId="77777777" w:rsidR="00DA177B" w:rsidRDefault="00DA177B" w:rsidP="003F57CC">
      <w:pPr>
        <w:spacing w:after="0" w:line="240" w:lineRule="auto"/>
        <w:jc w:val="both"/>
        <w:rPr>
          <w:rFonts w:ascii="Cambria" w:hAnsi="Cambria"/>
          <w:b/>
          <w:bCs/>
        </w:rPr>
      </w:pPr>
    </w:p>
    <w:p w14:paraId="40ABB1D6" w14:textId="77777777" w:rsidR="00DA177B" w:rsidRDefault="00DA177B" w:rsidP="003F57CC">
      <w:pPr>
        <w:spacing w:after="0" w:line="240" w:lineRule="auto"/>
        <w:jc w:val="both"/>
        <w:rPr>
          <w:rFonts w:ascii="Cambria" w:hAnsi="Cambria"/>
          <w:b/>
          <w:bCs/>
        </w:rPr>
      </w:pPr>
    </w:p>
    <w:p w14:paraId="0F80CF64" w14:textId="772424FB" w:rsidR="009156D2" w:rsidRPr="00090E54" w:rsidRDefault="009156D2" w:rsidP="003F57CC">
      <w:pPr>
        <w:spacing w:after="0" w:line="240" w:lineRule="auto"/>
        <w:jc w:val="both"/>
        <w:rPr>
          <w:rFonts w:ascii="Cambria" w:hAnsi="Cambria"/>
          <w:b/>
          <w:bCs/>
        </w:rPr>
      </w:pPr>
      <w:r w:rsidRPr="00090E54">
        <w:rPr>
          <w:rFonts w:ascii="Cambria" w:hAnsi="Cambria"/>
          <w:b/>
          <w:bCs/>
        </w:rPr>
        <w:t xml:space="preserve">Uji </w:t>
      </w:r>
      <w:proofErr w:type="spellStart"/>
      <w:r w:rsidR="00D4116A">
        <w:rPr>
          <w:rFonts w:ascii="Cambria" w:hAnsi="Cambria"/>
          <w:b/>
          <w:bCs/>
        </w:rPr>
        <w:t>Sensori</w:t>
      </w:r>
      <w:proofErr w:type="spellEnd"/>
    </w:p>
    <w:p w14:paraId="423E8D27" w14:textId="14B3C148" w:rsidR="00131BEC" w:rsidRDefault="00D4116A" w:rsidP="00131BEC">
      <w:pPr>
        <w:autoSpaceDE w:val="0"/>
        <w:autoSpaceDN w:val="0"/>
        <w:adjustRightInd w:val="0"/>
        <w:spacing w:after="0" w:line="240" w:lineRule="auto"/>
        <w:ind w:firstLine="720"/>
        <w:jc w:val="both"/>
        <w:rPr>
          <w:rFonts w:ascii="Cambria" w:hAnsi="Cambria"/>
          <w:lang w:val="en-ID"/>
        </w:rPr>
      </w:pPr>
      <w:proofErr w:type="spellStart"/>
      <w:r>
        <w:rPr>
          <w:rFonts w:ascii="Cambria" w:hAnsi="Cambria"/>
          <w:lang w:val="en-ID"/>
        </w:rPr>
        <w:t>Biskuit</w:t>
      </w:r>
      <w:proofErr w:type="spellEnd"/>
      <w:r>
        <w:rPr>
          <w:rFonts w:ascii="Cambria" w:hAnsi="Cambria"/>
          <w:lang w:val="en-ID"/>
        </w:rPr>
        <w:t xml:space="preserve"> yang </w:t>
      </w:r>
      <w:proofErr w:type="spellStart"/>
      <w:r>
        <w:rPr>
          <w:rFonts w:ascii="Cambria" w:hAnsi="Cambria"/>
          <w:lang w:val="en-ID"/>
        </w:rPr>
        <w:t>telah</w:t>
      </w:r>
      <w:proofErr w:type="spellEnd"/>
      <w:r>
        <w:rPr>
          <w:rFonts w:ascii="Cambria" w:hAnsi="Cambria"/>
          <w:lang w:val="en-ID"/>
        </w:rPr>
        <w:t xml:space="preserve"> </w:t>
      </w:r>
      <w:proofErr w:type="spellStart"/>
      <w:r>
        <w:rPr>
          <w:rFonts w:ascii="Cambria" w:hAnsi="Cambria"/>
          <w:lang w:val="en-ID"/>
        </w:rPr>
        <w:t>dihasilkan</w:t>
      </w:r>
      <w:proofErr w:type="spellEnd"/>
      <w:r>
        <w:rPr>
          <w:rFonts w:ascii="Cambria" w:hAnsi="Cambria"/>
          <w:lang w:val="en-ID"/>
        </w:rPr>
        <w:t xml:space="preserve"> </w:t>
      </w:r>
      <w:proofErr w:type="spellStart"/>
      <w:r>
        <w:rPr>
          <w:rFonts w:ascii="Cambria" w:hAnsi="Cambria"/>
          <w:lang w:val="en-ID"/>
        </w:rPr>
        <w:t>selanjutnya</w:t>
      </w:r>
      <w:proofErr w:type="spellEnd"/>
      <w:r>
        <w:rPr>
          <w:rFonts w:ascii="Cambria" w:hAnsi="Cambria"/>
          <w:lang w:val="en-ID"/>
        </w:rPr>
        <w:t xml:space="preserve"> di u</w:t>
      </w:r>
      <w:r w:rsidR="009156D2" w:rsidRPr="00090E54">
        <w:rPr>
          <w:rFonts w:ascii="Cambria" w:hAnsi="Cambria"/>
          <w:lang w:val="en-ID"/>
        </w:rPr>
        <w:t xml:space="preserve">ji </w:t>
      </w:r>
      <w:proofErr w:type="spellStart"/>
      <w:r>
        <w:rPr>
          <w:rFonts w:ascii="Cambria" w:hAnsi="Cambria"/>
          <w:lang w:val="en-ID"/>
        </w:rPr>
        <w:t>sensori</w:t>
      </w:r>
      <w:proofErr w:type="spellEnd"/>
      <w:r w:rsidR="009156D2" w:rsidRPr="00090E54">
        <w:rPr>
          <w:rFonts w:ascii="Cambria" w:hAnsi="Cambria"/>
          <w:lang w:val="en-ID"/>
        </w:rPr>
        <w:t xml:space="preserve"> </w:t>
      </w:r>
      <w:r w:rsidR="00747D1D" w:rsidRPr="00090E54">
        <w:rPr>
          <w:rFonts w:ascii="Cambria" w:hAnsi="Cambria"/>
          <w:lang w:val="en-ID"/>
        </w:rPr>
        <w:t xml:space="preserve">oleh 30 orang </w:t>
      </w:r>
      <w:proofErr w:type="spellStart"/>
      <w:r w:rsidR="00747D1D" w:rsidRPr="00090E54">
        <w:rPr>
          <w:rFonts w:ascii="Cambria" w:hAnsi="Cambria"/>
          <w:lang w:val="en-ID"/>
        </w:rPr>
        <w:t>panelis</w:t>
      </w:r>
      <w:proofErr w:type="spellEnd"/>
      <w:r w:rsidR="00747D1D" w:rsidRPr="00090E54">
        <w:rPr>
          <w:rFonts w:ascii="Cambria" w:hAnsi="Cambria"/>
          <w:lang w:val="en-ID"/>
        </w:rPr>
        <w:t xml:space="preserve"> semi </w:t>
      </w:r>
      <w:proofErr w:type="spellStart"/>
      <w:r w:rsidR="00747D1D" w:rsidRPr="00090E54">
        <w:rPr>
          <w:rFonts w:ascii="Cambria" w:hAnsi="Cambria"/>
          <w:lang w:val="en-ID"/>
        </w:rPr>
        <w:t>terlatih</w:t>
      </w:r>
      <w:proofErr w:type="spellEnd"/>
      <w:r>
        <w:rPr>
          <w:rFonts w:ascii="Cambria" w:hAnsi="Cambria"/>
          <w:lang w:val="en-ID"/>
        </w:rPr>
        <w:t xml:space="preserve">. Uji </w:t>
      </w:r>
      <w:proofErr w:type="spellStart"/>
      <w:r>
        <w:rPr>
          <w:rFonts w:ascii="Cambria" w:hAnsi="Cambria"/>
          <w:lang w:val="en-ID"/>
        </w:rPr>
        <w:t>sensori</w:t>
      </w:r>
      <w:proofErr w:type="spellEnd"/>
      <w:r>
        <w:rPr>
          <w:rFonts w:ascii="Cambria" w:hAnsi="Cambria"/>
          <w:lang w:val="en-ID"/>
        </w:rPr>
        <w:t xml:space="preserve"> </w:t>
      </w:r>
      <w:proofErr w:type="spellStart"/>
      <w:r>
        <w:rPr>
          <w:rFonts w:ascii="Cambria" w:hAnsi="Cambria"/>
          <w:lang w:val="en-ID"/>
        </w:rPr>
        <w:t>dilakukan</w:t>
      </w:r>
      <w:proofErr w:type="spellEnd"/>
      <w:r>
        <w:rPr>
          <w:rFonts w:ascii="Cambria" w:hAnsi="Cambria"/>
          <w:lang w:val="en-ID"/>
        </w:rPr>
        <w:t xml:space="preserve"> </w:t>
      </w:r>
      <w:proofErr w:type="spellStart"/>
      <w:r w:rsidR="00747D1D" w:rsidRPr="00090E54">
        <w:rPr>
          <w:rFonts w:ascii="Cambria" w:hAnsi="Cambria"/>
          <w:lang w:val="en-ID"/>
        </w:rPr>
        <w:t>untuk</w:t>
      </w:r>
      <w:proofErr w:type="spellEnd"/>
      <w:r w:rsidR="00747D1D" w:rsidRPr="00090E54">
        <w:rPr>
          <w:rFonts w:ascii="Cambria" w:hAnsi="Cambria"/>
          <w:lang w:val="en-ID"/>
        </w:rPr>
        <w:t xml:space="preserve"> </w:t>
      </w:r>
      <w:proofErr w:type="spellStart"/>
      <w:r>
        <w:rPr>
          <w:rFonts w:ascii="Cambria" w:hAnsi="Cambria"/>
          <w:lang w:val="en-ID"/>
        </w:rPr>
        <w:t>mengetahui</w:t>
      </w:r>
      <w:proofErr w:type="spellEnd"/>
      <w:r w:rsidR="00747D1D" w:rsidRPr="00090E54">
        <w:rPr>
          <w:rFonts w:ascii="Cambria" w:hAnsi="Cambria"/>
          <w:lang w:val="en-ID"/>
        </w:rPr>
        <w:t xml:space="preserve"> </w:t>
      </w:r>
      <w:proofErr w:type="spellStart"/>
      <w:r>
        <w:rPr>
          <w:rFonts w:ascii="Cambria" w:hAnsi="Cambria"/>
          <w:lang w:val="en-ID"/>
        </w:rPr>
        <w:t>daya</w:t>
      </w:r>
      <w:proofErr w:type="spellEnd"/>
      <w:r w:rsidR="00747D1D" w:rsidRPr="00090E54">
        <w:rPr>
          <w:rFonts w:ascii="Cambria" w:hAnsi="Cambria"/>
          <w:lang w:val="en-ID"/>
        </w:rPr>
        <w:t xml:space="preserve"> </w:t>
      </w:r>
      <w:proofErr w:type="spellStart"/>
      <w:r>
        <w:rPr>
          <w:rFonts w:ascii="Cambria" w:hAnsi="Cambria"/>
          <w:lang w:val="en-ID"/>
        </w:rPr>
        <w:t>terima</w:t>
      </w:r>
      <w:proofErr w:type="spellEnd"/>
      <w:r>
        <w:rPr>
          <w:rFonts w:ascii="Cambria" w:hAnsi="Cambria"/>
          <w:lang w:val="en-ID"/>
        </w:rPr>
        <w:t xml:space="preserve"> </w:t>
      </w:r>
      <w:proofErr w:type="spellStart"/>
      <w:r w:rsidR="00747D1D" w:rsidRPr="00090E54">
        <w:rPr>
          <w:rFonts w:ascii="Cambria" w:hAnsi="Cambria"/>
          <w:lang w:val="en-ID"/>
        </w:rPr>
        <w:t>panelis</w:t>
      </w:r>
      <w:proofErr w:type="spellEnd"/>
      <w:r w:rsidR="00747D1D" w:rsidRPr="00090E54">
        <w:rPr>
          <w:rFonts w:ascii="Cambria" w:hAnsi="Cambria"/>
          <w:lang w:val="en-ID"/>
        </w:rPr>
        <w:t xml:space="preserve"> </w:t>
      </w:r>
      <w:proofErr w:type="spellStart"/>
      <w:r w:rsidR="00747D1D" w:rsidRPr="00090E54">
        <w:rPr>
          <w:rFonts w:ascii="Cambria" w:hAnsi="Cambria"/>
          <w:lang w:val="en-ID"/>
        </w:rPr>
        <w:t>terhadap</w:t>
      </w:r>
      <w:proofErr w:type="spellEnd"/>
      <w:r w:rsidR="00747D1D" w:rsidRPr="00090E54">
        <w:rPr>
          <w:rFonts w:ascii="Cambria" w:hAnsi="Cambria"/>
          <w:lang w:val="en-ID"/>
        </w:rPr>
        <w:t xml:space="preserve"> </w:t>
      </w:r>
      <w:r>
        <w:rPr>
          <w:rFonts w:ascii="Cambria" w:hAnsi="Cambria"/>
          <w:lang w:val="en-ID"/>
        </w:rPr>
        <w:t xml:space="preserve">biscuit. Uji </w:t>
      </w:r>
      <w:proofErr w:type="spellStart"/>
      <w:r>
        <w:rPr>
          <w:rFonts w:ascii="Cambria" w:hAnsi="Cambria"/>
          <w:lang w:val="en-ID"/>
        </w:rPr>
        <w:t>sensori</w:t>
      </w:r>
      <w:proofErr w:type="spellEnd"/>
      <w:r w:rsidR="00747D1D" w:rsidRPr="00090E54">
        <w:rPr>
          <w:rFonts w:ascii="Cambria" w:hAnsi="Cambria"/>
          <w:lang w:val="en-ID"/>
        </w:rPr>
        <w:t xml:space="preserve"> </w:t>
      </w:r>
      <w:proofErr w:type="spellStart"/>
      <w:r w:rsidR="009156D2" w:rsidRPr="00090E54">
        <w:rPr>
          <w:rFonts w:ascii="Cambria" w:hAnsi="Cambria"/>
          <w:lang w:val="en-ID"/>
        </w:rPr>
        <w:t>terdiri</w:t>
      </w:r>
      <w:proofErr w:type="spellEnd"/>
      <w:r w:rsidR="009156D2" w:rsidRPr="00090E54">
        <w:rPr>
          <w:rFonts w:ascii="Cambria" w:hAnsi="Cambria"/>
          <w:lang w:val="en-ID"/>
        </w:rPr>
        <w:t xml:space="preserve"> </w:t>
      </w:r>
      <w:proofErr w:type="spellStart"/>
      <w:r w:rsidR="009156D2" w:rsidRPr="00090E54">
        <w:rPr>
          <w:rFonts w:ascii="Cambria" w:hAnsi="Cambria"/>
          <w:lang w:val="en-ID"/>
        </w:rPr>
        <w:t>dari</w:t>
      </w:r>
      <w:proofErr w:type="spellEnd"/>
      <w:r w:rsidR="009156D2" w:rsidRPr="00090E54">
        <w:rPr>
          <w:rFonts w:ascii="Cambria" w:hAnsi="Cambria"/>
          <w:lang w:val="en-ID"/>
        </w:rPr>
        <w:t xml:space="preserve"> uji </w:t>
      </w:r>
      <w:proofErr w:type="spellStart"/>
      <w:r w:rsidR="009156D2" w:rsidRPr="00090E54">
        <w:rPr>
          <w:rFonts w:ascii="Cambria" w:hAnsi="Cambria"/>
          <w:lang w:val="en-ID"/>
        </w:rPr>
        <w:t>hedonik</w:t>
      </w:r>
      <w:proofErr w:type="spellEnd"/>
      <w:r w:rsidR="009156D2" w:rsidRPr="00090E54">
        <w:rPr>
          <w:rFonts w:ascii="Cambria" w:hAnsi="Cambria"/>
          <w:lang w:val="en-ID"/>
        </w:rPr>
        <w:t xml:space="preserve"> dan uji </w:t>
      </w:r>
      <w:proofErr w:type="spellStart"/>
      <w:r w:rsidR="009156D2" w:rsidRPr="00090E54">
        <w:rPr>
          <w:rFonts w:ascii="Cambria" w:hAnsi="Cambria"/>
          <w:lang w:val="en-ID"/>
        </w:rPr>
        <w:t>mutu</w:t>
      </w:r>
      <w:proofErr w:type="spellEnd"/>
      <w:r w:rsidR="009156D2" w:rsidRPr="00090E54">
        <w:rPr>
          <w:rFonts w:ascii="Cambria" w:hAnsi="Cambria"/>
          <w:lang w:val="en-ID"/>
        </w:rPr>
        <w:t xml:space="preserve"> </w:t>
      </w:r>
      <w:r w:rsidR="00747D1D">
        <w:rPr>
          <w:rFonts w:ascii="Cambria" w:hAnsi="Cambria"/>
          <w:lang w:val="en-ID"/>
        </w:rPr>
        <w:t>hedonic.</w:t>
      </w:r>
      <w:r w:rsidR="009156D2" w:rsidRPr="00090E54">
        <w:rPr>
          <w:rFonts w:ascii="Cambria" w:hAnsi="Cambria"/>
          <w:lang w:val="en-ID"/>
        </w:rPr>
        <w:t xml:space="preserve"> </w:t>
      </w:r>
      <w:proofErr w:type="spellStart"/>
      <w:r w:rsidR="009156D2" w:rsidRPr="00090E54">
        <w:rPr>
          <w:rFonts w:ascii="Cambria" w:hAnsi="Cambria"/>
          <w:lang w:val="en-ID"/>
        </w:rPr>
        <w:t>Panelis</w:t>
      </w:r>
      <w:proofErr w:type="spellEnd"/>
      <w:r w:rsidR="009156D2" w:rsidRPr="00090E54">
        <w:rPr>
          <w:rFonts w:ascii="Cambria" w:hAnsi="Cambria"/>
          <w:lang w:val="en-ID"/>
        </w:rPr>
        <w:t xml:space="preserve"> semi </w:t>
      </w:r>
      <w:proofErr w:type="spellStart"/>
      <w:r w:rsidR="009156D2" w:rsidRPr="00090E54">
        <w:rPr>
          <w:rFonts w:ascii="Cambria" w:hAnsi="Cambria"/>
          <w:lang w:val="en-ID"/>
        </w:rPr>
        <w:t>terlatih</w:t>
      </w:r>
      <w:proofErr w:type="spellEnd"/>
      <w:r w:rsidR="009156D2" w:rsidRPr="00090E54">
        <w:rPr>
          <w:rFonts w:ascii="Cambria" w:hAnsi="Cambria"/>
          <w:lang w:val="en-ID"/>
        </w:rPr>
        <w:t xml:space="preserve"> pada uji </w:t>
      </w:r>
      <w:proofErr w:type="spellStart"/>
      <w:r w:rsidR="009156D2" w:rsidRPr="00090E54">
        <w:rPr>
          <w:rFonts w:ascii="Cambria" w:hAnsi="Cambria"/>
          <w:lang w:val="en-ID"/>
        </w:rPr>
        <w:t>ini</w:t>
      </w:r>
      <w:proofErr w:type="spellEnd"/>
      <w:r w:rsidR="009156D2" w:rsidRPr="00090E54">
        <w:rPr>
          <w:rFonts w:ascii="Cambria" w:hAnsi="Cambria"/>
          <w:lang w:val="en-ID"/>
        </w:rPr>
        <w:t xml:space="preserve"> </w:t>
      </w:r>
      <w:proofErr w:type="spellStart"/>
      <w:r w:rsidR="00747D1D">
        <w:rPr>
          <w:rFonts w:ascii="Cambria" w:hAnsi="Cambria"/>
          <w:lang w:val="en-ID"/>
        </w:rPr>
        <w:t>adalah</w:t>
      </w:r>
      <w:proofErr w:type="spellEnd"/>
      <w:r w:rsidR="00747D1D">
        <w:rPr>
          <w:rFonts w:ascii="Cambria" w:hAnsi="Cambria"/>
          <w:lang w:val="en-ID"/>
        </w:rPr>
        <w:t xml:space="preserve"> </w:t>
      </w:r>
      <w:proofErr w:type="spellStart"/>
      <w:r w:rsidR="009156D2" w:rsidRPr="00090E54">
        <w:rPr>
          <w:rFonts w:ascii="Cambria" w:hAnsi="Cambria"/>
          <w:lang w:val="en-ID"/>
        </w:rPr>
        <w:t>mahasiswa</w:t>
      </w:r>
      <w:proofErr w:type="spellEnd"/>
      <w:r w:rsidR="00747D1D">
        <w:rPr>
          <w:rFonts w:ascii="Cambria" w:hAnsi="Cambria"/>
          <w:lang w:val="en-ID"/>
        </w:rPr>
        <w:t xml:space="preserve"> Prodi </w:t>
      </w:r>
      <w:proofErr w:type="gramStart"/>
      <w:r w:rsidR="00747D1D">
        <w:rPr>
          <w:rFonts w:ascii="Cambria" w:hAnsi="Cambria"/>
          <w:lang w:val="en-ID"/>
        </w:rPr>
        <w:t xml:space="preserve">Gizi </w:t>
      </w:r>
      <w:r w:rsidR="009156D2" w:rsidRPr="00090E54">
        <w:rPr>
          <w:rFonts w:ascii="Cambria" w:hAnsi="Cambria"/>
          <w:lang w:val="en-ID"/>
        </w:rPr>
        <w:t xml:space="preserve"> </w:t>
      </w:r>
      <w:proofErr w:type="spellStart"/>
      <w:r w:rsidR="009156D2" w:rsidRPr="00090E54">
        <w:rPr>
          <w:rFonts w:ascii="Cambria" w:hAnsi="Cambria"/>
          <w:lang w:val="en-ID"/>
        </w:rPr>
        <w:t>Fakultas</w:t>
      </w:r>
      <w:proofErr w:type="spellEnd"/>
      <w:proofErr w:type="gramEnd"/>
      <w:r w:rsidR="009156D2" w:rsidRPr="00090E54">
        <w:rPr>
          <w:rFonts w:ascii="Cambria" w:hAnsi="Cambria"/>
          <w:lang w:val="en-ID"/>
        </w:rPr>
        <w:t xml:space="preserve"> </w:t>
      </w:r>
      <w:proofErr w:type="spellStart"/>
      <w:r w:rsidR="009156D2" w:rsidRPr="00090E54">
        <w:rPr>
          <w:rFonts w:ascii="Cambria" w:hAnsi="Cambria"/>
          <w:lang w:val="en-ID"/>
        </w:rPr>
        <w:t>Kedokteran</w:t>
      </w:r>
      <w:proofErr w:type="spellEnd"/>
      <w:r w:rsidR="009156D2" w:rsidRPr="00090E54">
        <w:rPr>
          <w:rFonts w:ascii="Cambria" w:hAnsi="Cambria"/>
          <w:lang w:val="en-ID"/>
        </w:rPr>
        <w:t xml:space="preserve"> dan Kesehatan UMJ. </w:t>
      </w:r>
    </w:p>
    <w:p w14:paraId="3FCC8B77" w14:textId="4A56847F" w:rsidR="00131BEC" w:rsidRDefault="00966EFA" w:rsidP="00D95178">
      <w:pPr>
        <w:autoSpaceDE w:val="0"/>
        <w:autoSpaceDN w:val="0"/>
        <w:adjustRightInd w:val="0"/>
        <w:spacing w:after="0" w:line="240" w:lineRule="auto"/>
        <w:ind w:firstLine="720"/>
        <w:jc w:val="both"/>
        <w:rPr>
          <w:rFonts w:ascii="Cambria" w:hAnsi="Cambria"/>
          <w:lang w:val="en-ID"/>
        </w:rPr>
      </w:pPr>
      <w:r>
        <w:rPr>
          <w:rFonts w:ascii="Cambria" w:hAnsi="Cambria"/>
          <w:lang w:val="en-ID"/>
        </w:rPr>
        <w:t xml:space="preserve">Skala </w:t>
      </w:r>
      <w:proofErr w:type="spellStart"/>
      <w:r>
        <w:rPr>
          <w:rFonts w:ascii="Cambria" w:hAnsi="Cambria"/>
          <w:lang w:val="en-ID"/>
        </w:rPr>
        <w:t>penilaian</w:t>
      </w:r>
      <w:proofErr w:type="spellEnd"/>
      <w:r>
        <w:rPr>
          <w:rFonts w:ascii="Cambria" w:hAnsi="Cambria"/>
          <w:lang w:val="en-ID"/>
        </w:rPr>
        <w:t xml:space="preserve"> pada u</w:t>
      </w:r>
      <w:r w:rsidR="009156D2" w:rsidRPr="00090E54">
        <w:rPr>
          <w:rFonts w:ascii="Cambria" w:hAnsi="Cambria"/>
          <w:lang w:val="en-ID"/>
        </w:rPr>
        <w:t xml:space="preserve">ji </w:t>
      </w:r>
      <w:proofErr w:type="spellStart"/>
      <w:r w:rsidR="009156D2" w:rsidRPr="00090E54">
        <w:rPr>
          <w:rFonts w:ascii="Cambria" w:hAnsi="Cambria"/>
          <w:lang w:val="en-ID"/>
        </w:rPr>
        <w:t>hedonik</w:t>
      </w:r>
      <w:proofErr w:type="spellEnd"/>
      <w:r w:rsidR="009156D2" w:rsidRPr="00090E54">
        <w:rPr>
          <w:rFonts w:ascii="Cambria" w:hAnsi="Cambria"/>
          <w:lang w:val="en-ID"/>
        </w:rPr>
        <w:t xml:space="preserve"> dan uji </w:t>
      </w:r>
      <w:proofErr w:type="spellStart"/>
      <w:r w:rsidR="009156D2" w:rsidRPr="00090E54">
        <w:rPr>
          <w:rFonts w:ascii="Cambria" w:hAnsi="Cambria"/>
          <w:lang w:val="en-ID"/>
        </w:rPr>
        <w:t>mutu</w:t>
      </w:r>
      <w:proofErr w:type="spellEnd"/>
      <w:r w:rsidR="009156D2" w:rsidRPr="00090E54">
        <w:rPr>
          <w:rFonts w:ascii="Cambria" w:hAnsi="Cambria"/>
          <w:lang w:val="en-ID"/>
        </w:rPr>
        <w:t xml:space="preserve"> </w:t>
      </w:r>
      <w:proofErr w:type="spellStart"/>
      <w:r w:rsidR="009156D2" w:rsidRPr="00090E54">
        <w:rPr>
          <w:rFonts w:ascii="Cambria" w:hAnsi="Cambria"/>
          <w:lang w:val="en-ID"/>
        </w:rPr>
        <w:t>hedonik</w:t>
      </w:r>
      <w:proofErr w:type="spellEnd"/>
      <w:r w:rsidR="009156D2" w:rsidRPr="00090E54">
        <w:rPr>
          <w:rFonts w:ascii="Cambria" w:hAnsi="Cambria"/>
          <w:lang w:val="en-ID"/>
        </w:rPr>
        <w:t xml:space="preserve"> </w:t>
      </w:r>
      <w:proofErr w:type="spellStart"/>
      <w:r>
        <w:rPr>
          <w:rFonts w:ascii="Cambria" w:hAnsi="Cambria"/>
          <w:lang w:val="en-ID"/>
        </w:rPr>
        <w:t>menggunakan</w:t>
      </w:r>
      <w:proofErr w:type="spellEnd"/>
      <w:r>
        <w:rPr>
          <w:rFonts w:ascii="Cambria" w:hAnsi="Cambria"/>
          <w:lang w:val="en-ID"/>
        </w:rPr>
        <w:t xml:space="preserve"> </w:t>
      </w:r>
      <w:proofErr w:type="spellStart"/>
      <w:r>
        <w:rPr>
          <w:rFonts w:ascii="Cambria" w:hAnsi="Cambria"/>
          <w:lang w:val="en-ID"/>
        </w:rPr>
        <w:t>skala</w:t>
      </w:r>
      <w:proofErr w:type="spellEnd"/>
      <w:r>
        <w:rPr>
          <w:rFonts w:ascii="Cambria" w:hAnsi="Cambria"/>
          <w:lang w:val="en-ID"/>
        </w:rPr>
        <w:t xml:space="preserve"> </w:t>
      </w:r>
      <w:proofErr w:type="spellStart"/>
      <w:r>
        <w:rPr>
          <w:rFonts w:ascii="Cambria" w:hAnsi="Cambria"/>
          <w:lang w:val="en-ID"/>
        </w:rPr>
        <w:t>linkert</w:t>
      </w:r>
      <w:proofErr w:type="spellEnd"/>
      <w:r>
        <w:rPr>
          <w:rFonts w:ascii="Cambria" w:hAnsi="Cambria"/>
          <w:lang w:val="en-ID"/>
        </w:rPr>
        <w:t xml:space="preserve"> 1 </w:t>
      </w:r>
      <w:proofErr w:type="spellStart"/>
      <w:r>
        <w:rPr>
          <w:rFonts w:ascii="Cambria" w:hAnsi="Cambria"/>
          <w:lang w:val="en-ID"/>
        </w:rPr>
        <w:t>sampai</w:t>
      </w:r>
      <w:proofErr w:type="spellEnd"/>
      <w:r>
        <w:rPr>
          <w:rFonts w:ascii="Cambria" w:hAnsi="Cambria"/>
          <w:lang w:val="en-ID"/>
        </w:rPr>
        <w:t xml:space="preserve"> 5 yang </w:t>
      </w:r>
      <w:proofErr w:type="spellStart"/>
      <w:r>
        <w:rPr>
          <w:rFonts w:ascii="Cambria" w:hAnsi="Cambria"/>
          <w:lang w:val="en-ID"/>
        </w:rPr>
        <w:t>meliputi</w:t>
      </w:r>
      <w:proofErr w:type="spellEnd"/>
      <w:r>
        <w:rPr>
          <w:rFonts w:ascii="Cambria" w:hAnsi="Cambria"/>
          <w:lang w:val="en-ID"/>
        </w:rPr>
        <w:t xml:space="preserve"> lima </w:t>
      </w:r>
      <w:proofErr w:type="spellStart"/>
      <w:r>
        <w:rPr>
          <w:rFonts w:ascii="Cambria" w:hAnsi="Cambria"/>
          <w:lang w:val="en-ID"/>
        </w:rPr>
        <w:t>atribut</w:t>
      </w:r>
      <w:proofErr w:type="spellEnd"/>
      <w:r>
        <w:rPr>
          <w:rFonts w:ascii="Cambria" w:hAnsi="Cambria"/>
          <w:lang w:val="en-ID"/>
        </w:rPr>
        <w:t xml:space="preserve"> </w:t>
      </w:r>
      <w:proofErr w:type="spellStart"/>
      <w:r>
        <w:rPr>
          <w:rFonts w:ascii="Cambria" w:hAnsi="Cambria"/>
          <w:lang w:val="en-ID"/>
        </w:rPr>
        <w:t>sensori</w:t>
      </w:r>
      <w:proofErr w:type="spellEnd"/>
      <w:r>
        <w:rPr>
          <w:rFonts w:ascii="Cambria" w:hAnsi="Cambria"/>
          <w:lang w:val="en-ID"/>
        </w:rPr>
        <w:t xml:space="preserve"> </w:t>
      </w:r>
      <w:proofErr w:type="spellStart"/>
      <w:proofErr w:type="gramStart"/>
      <w:r>
        <w:rPr>
          <w:rFonts w:ascii="Cambria" w:hAnsi="Cambria"/>
          <w:lang w:val="en-ID"/>
        </w:rPr>
        <w:t>yaitu</w:t>
      </w:r>
      <w:proofErr w:type="spellEnd"/>
      <w:r>
        <w:rPr>
          <w:rFonts w:ascii="Cambria" w:hAnsi="Cambria"/>
          <w:lang w:val="en-ID"/>
        </w:rPr>
        <w:t xml:space="preserve"> :</w:t>
      </w:r>
      <w:proofErr w:type="gramEnd"/>
      <w:r w:rsidR="009156D2" w:rsidRPr="00090E54">
        <w:rPr>
          <w:rFonts w:ascii="Cambria" w:hAnsi="Cambria"/>
          <w:lang w:val="en-ID"/>
        </w:rPr>
        <w:t xml:space="preserve"> </w:t>
      </w:r>
      <w:proofErr w:type="spellStart"/>
      <w:r w:rsidR="009156D2" w:rsidRPr="00090E54">
        <w:rPr>
          <w:rFonts w:ascii="Cambria" w:hAnsi="Cambria"/>
          <w:lang w:val="en-ID"/>
        </w:rPr>
        <w:t>warna</w:t>
      </w:r>
      <w:proofErr w:type="spellEnd"/>
      <w:r w:rsidR="009156D2" w:rsidRPr="00090E54">
        <w:rPr>
          <w:rFonts w:ascii="Cambria" w:hAnsi="Cambria"/>
          <w:lang w:val="en-ID"/>
        </w:rPr>
        <w:t xml:space="preserve">, aroma, rasa, </w:t>
      </w:r>
      <w:proofErr w:type="spellStart"/>
      <w:r w:rsidR="009156D2" w:rsidRPr="00090E54">
        <w:rPr>
          <w:rFonts w:ascii="Cambria" w:hAnsi="Cambria"/>
          <w:lang w:val="en-ID"/>
        </w:rPr>
        <w:t>tekstur</w:t>
      </w:r>
      <w:proofErr w:type="spellEnd"/>
      <w:r w:rsidR="009156D2" w:rsidRPr="00090E54">
        <w:rPr>
          <w:rFonts w:ascii="Cambria" w:hAnsi="Cambria"/>
          <w:lang w:val="en-ID"/>
        </w:rPr>
        <w:t xml:space="preserve">, dan </w:t>
      </w:r>
      <w:r w:rsidR="007346E4" w:rsidRPr="007346E4">
        <w:rPr>
          <w:rFonts w:ascii="Cambria" w:hAnsi="Cambria"/>
          <w:i/>
          <w:iCs/>
          <w:lang w:val="en-ID"/>
        </w:rPr>
        <w:t>aftertaste</w:t>
      </w:r>
      <w:r w:rsidR="009156D2" w:rsidRPr="00090E54">
        <w:rPr>
          <w:rFonts w:ascii="Cambria" w:hAnsi="Cambria"/>
          <w:lang w:val="en-ID"/>
        </w:rPr>
        <w:t xml:space="preserve">. </w:t>
      </w:r>
      <w:r w:rsidR="00C71AF0">
        <w:rPr>
          <w:rFonts w:ascii="Cambria" w:hAnsi="Cambria"/>
          <w:lang w:val="en-ID"/>
        </w:rPr>
        <w:t>Pada</w:t>
      </w:r>
      <w:r w:rsidR="009156D2" w:rsidRPr="00090E54">
        <w:rPr>
          <w:rFonts w:ascii="Cambria" w:hAnsi="Cambria"/>
          <w:lang w:val="en-ID"/>
        </w:rPr>
        <w:t xml:space="preserve"> uji </w:t>
      </w:r>
      <w:proofErr w:type="spellStart"/>
      <w:r w:rsidR="009156D2" w:rsidRPr="00090E54">
        <w:rPr>
          <w:rFonts w:ascii="Cambria" w:hAnsi="Cambria"/>
          <w:lang w:val="en-ID"/>
        </w:rPr>
        <w:t>hedonik</w:t>
      </w:r>
      <w:proofErr w:type="spellEnd"/>
      <w:r w:rsidR="009156D2" w:rsidRPr="00090E54">
        <w:rPr>
          <w:rFonts w:ascii="Cambria" w:hAnsi="Cambria"/>
          <w:lang w:val="en-ID"/>
        </w:rPr>
        <w:t xml:space="preserve"> </w:t>
      </w:r>
      <w:proofErr w:type="spellStart"/>
      <w:r w:rsidR="00C71AF0">
        <w:rPr>
          <w:rFonts w:ascii="Cambria" w:hAnsi="Cambria"/>
          <w:lang w:val="en-ID"/>
        </w:rPr>
        <w:t>skala</w:t>
      </w:r>
      <w:proofErr w:type="spellEnd"/>
      <w:r w:rsidR="00C71AF0">
        <w:rPr>
          <w:rFonts w:ascii="Cambria" w:hAnsi="Cambria"/>
          <w:lang w:val="en-ID"/>
        </w:rPr>
        <w:t xml:space="preserve"> </w:t>
      </w:r>
      <w:proofErr w:type="spellStart"/>
      <w:r w:rsidR="00C71AF0">
        <w:rPr>
          <w:rFonts w:ascii="Cambria" w:hAnsi="Cambria"/>
          <w:lang w:val="en-ID"/>
        </w:rPr>
        <w:t>penilaiannya</w:t>
      </w:r>
      <w:proofErr w:type="spellEnd"/>
      <w:r w:rsidR="00C71AF0">
        <w:rPr>
          <w:rFonts w:ascii="Cambria" w:hAnsi="Cambria"/>
          <w:lang w:val="en-ID"/>
        </w:rPr>
        <w:t xml:space="preserve"> </w:t>
      </w:r>
      <w:proofErr w:type="spellStart"/>
      <w:proofErr w:type="gramStart"/>
      <w:r w:rsidR="00C71AF0">
        <w:rPr>
          <w:rFonts w:ascii="Cambria" w:hAnsi="Cambria"/>
          <w:lang w:val="en-ID"/>
        </w:rPr>
        <w:t>adalah</w:t>
      </w:r>
      <w:proofErr w:type="spellEnd"/>
      <w:r w:rsidR="00C71AF0">
        <w:rPr>
          <w:rFonts w:ascii="Cambria" w:hAnsi="Cambria"/>
          <w:lang w:val="en-ID"/>
        </w:rPr>
        <w:t xml:space="preserve"> :</w:t>
      </w:r>
      <w:proofErr w:type="gramEnd"/>
      <w:r w:rsidR="009156D2" w:rsidRPr="00090E54">
        <w:rPr>
          <w:rFonts w:ascii="Cambria" w:hAnsi="Cambria"/>
          <w:lang w:val="en-ID"/>
        </w:rPr>
        <w:t xml:space="preserve"> 1 (sangat </w:t>
      </w:r>
      <w:proofErr w:type="spellStart"/>
      <w:r w:rsidR="009156D2" w:rsidRPr="00090E54">
        <w:rPr>
          <w:rFonts w:ascii="Cambria" w:hAnsi="Cambria"/>
          <w:lang w:val="en-ID"/>
        </w:rPr>
        <w:t>tidak</w:t>
      </w:r>
      <w:proofErr w:type="spellEnd"/>
      <w:r w:rsidR="009156D2" w:rsidRPr="00090E54">
        <w:rPr>
          <w:rFonts w:ascii="Cambria" w:hAnsi="Cambria"/>
          <w:lang w:val="en-ID"/>
        </w:rPr>
        <w:t xml:space="preserve"> </w:t>
      </w:r>
      <w:proofErr w:type="spellStart"/>
      <w:r w:rsidR="009156D2" w:rsidRPr="00090E54">
        <w:rPr>
          <w:rFonts w:ascii="Cambria" w:hAnsi="Cambria"/>
          <w:lang w:val="en-ID"/>
        </w:rPr>
        <w:t>suka</w:t>
      </w:r>
      <w:proofErr w:type="spellEnd"/>
      <w:r w:rsidR="009156D2" w:rsidRPr="00090E54">
        <w:rPr>
          <w:rFonts w:ascii="Cambria" w:hAnsi="Cambria"/>
          <w:lang w:val="en-ID"/>
        </w:rPr>
        <w:t>)</w:t>
      </w:r>
      <w:r w:rsidR="00C71AF0">
        <w:rPr>
          <w:rFonts w:ascii="Cambria" w:hAnsi="Cambria"/>
          <w:lang w:val="en-ID"/>
        </w:rPr>
        <w:t>;</w:t>
      </w:r>
      <w:r w:rsidR="009156D2" w:rsidRPr="00090E54">
        <w:rPr>
          <w:rFonts w:ascii="Cambria" w:hAnsi="Cambria"/>
          <w:lang w:val="en-ID"/>
        </w:rPr>
        <w:t xml:space="preserve"> 2 (</w:t>
      </w:r>
      <w:proofErr w:type="spellStart"/>
      <w:r w:rsidR="009156D2" w:rsidRPr="00090E54">
        <w:rPr>
          <w:rFonts w:ascii="Cambria" w:hAnsi="Cambria"/>
          <w:lang w:val="en-ID"/>
        </w:rPr>
        <w:t>tidak</w:t>
      </w:r>
      <w:proofErr w:type="spellEnd"/>
      <w:r w:rsidR="009156D2" w:rsidRPr="00090E54">
        <w:rPr>
          <w:rFonts w:ascii="Cambria" w:hAnsi="Cambria"/>
          <w:lang w:val="en-ID"/>
        </w:rPr>
        <w:t xml:space="preserve"> </w:t>
      </w:r>
      <w:proofErr w:type="spellStart"/>
      <w:r w:rsidR="009156D2" w:rsidRPr="00090E54">
        <w:rPr>
          <w:rFonts w:ascii="Cambria" w:hAnsi="Cambria"/>
          <w:lang w:val="en-ID"/>
        </w:rPr>
        <w:t>suka</w:t>
      </w:r>
      <w:proofErr w:type="spellEnd"/>
      <w:r w:rsidR="009156D2" w:rsidRPr="00090E54">
        <w:rPr>
          <w:rFonts w:ascii="Cambria" w:hAnsi="Cambria"/>
          <w:lang w:val="en-ID"/>
        </w:rPr>
        <w:t>)</w:t>
      </w:r>
      <w:r w:rsidR="00C71AF0">
        <w:rPr>
          <w:rFonts w:ascii="Cambria" w:hAnsi="Cambria"/>
          <w:lang w:val="en-ID"/>
        </w:rPr>
        <w:t>;</w:t>
      </w:r>
      <w:r w:rsidR="009156D2" w:rsidRPr="00090E54">
        <w:rPr>
          <w:rFonts w:ascii="Cambria" w:hAnsi="Cambria"/>
          <w:lang w:val="en-ID"/>
        </w:rPr>
        <w:t xml:space="preserve"> 3 (</w:t>
      </w:r>
      <w:proofErr w:type="spellStart"/>
      <w:r w:rsidR="009156D2" w:rsidRPr="00090E54">
        <w:rPr>
          <w:rFonts w:ascii="Cambria" w:hAnsi="Cambria"/>
          <w:lang w:val="en-ID"/>
        </w:rPr>
        <w:t>agak</w:t>
      </w:r>
      <w:proofErr w:type="spellEnd"/>
      <w:r w:rsidR="009156D2" w:rsidRPr="00090E54">
        <w:rPr>
          <w:rFonts w:ascii="Cambria" w:hAnsi="Cambria"/>
          <w:lang w:val="en-ID"/>
        </w:rPr>
        <w:t xml:space="preserve"> </w:t>
      </w:r>
      <w:proofErr w:type="spellStart"/>
      <w:r w:rsidR="009156D2" w:rsidRPr="00090E54">
        <w:rPr>
          <w:rFonts w:ascii="Cambria" w:hAnsi="Cambria"/>
          <w:lang w:val="en-ID"/>
        </w:rPr>
        <w:t>suka</w:t>
      </w:r>
      <w:proofErr w:type="spellEnd"/>
      <w:r w:rsidR="009156D2" w:rsidRPr="00090E54">
        <w:rPr>
          <w:rFonts w:ascii="Cambria" w:hAnsi="Cambria"/>
          <w:lang w:val="en-ID"/>
        </w:rPr>
        <w:t>)</w:t>
      </w:r>
      <w:r w:rsidR="00C71AF0">
        <w:rPr>
          <w:rFonts w:ascii="Cambria" w:hAnsi="Cambria"/>
          <w:lang w:val="en-ID"/>
        </w:rPr>
        <w:t>;</w:t>
      </w:r>
      <w:r w:rsidR="009156D2" w:rsidRPr="00090E54">
        <w:rPr>
          <w:rFonts w:ascii="Cambria" w:hAnsi="Cambria"/>
          <w:lang w:val="en-ID"/>
        </w:rPr>
        <w:t xml:space="preserve"> 4 (</w:t>
      </w:r>
      <w:proofErr w:type="spellStart"/>
      <w:r w:rsidR="009156D2" w:rsidRPr="00090E54">
        <w:rPr>
          <w:rFonts w:ascii="Cambria" w:hAnsi="Cambria"/>
          <w:lang w:val="en-ID"/>
        </w:rPr>
        <w:t>suka</w:t>
      </w:r>
      <w:proofErr w:type="spellEnd"/>
      <w:r w:rsidR="009156D2" w:rsidRPr="00090E54">
        <w:rPr>
          <w:rFonts w:ascii="Cambria" w:hAnsi="Cambria"/>
          <w:lang w:val="en-ID"/>
        </w:rPr>
        <w:t>)</w:t>
      </w:r>
      <w:r w:rsidR="00C71AF0">
        <w:rPr>
          <w:rFonts w:ascii="Cambria" w:hAnsi="Cambria"/>
          <w:lang w:val="en-ID"/>
        </w:rPr>
        <w:t>; dan</w:t>
      </w:r>
      <w:r w:rsidR="009156D2" w:rsidRPr="00090E54">
        <w:rPr>
          <w:rFonts w:ascii="Cambria" w:hAnsi="Cambria"/>
          <w:lang w:val="en-ID"/>
        </w:rPr>
        <w:t xml:space="preserve"> </w:t>
      </w:r>
      <w:r w:rsidR="008C4016">
        <w:rPr>
          <w:rFonts w:ascii="Cambria" w:hAnsi="Cambria"/>
          <w:lang w:val="en-ID"/>
        </w:rPr>
        <w:t>5</w:t>
      </w:r>
      <w:r w:rsidR="009156D2" w:rsidRPr="00090E54">
        <w:rPr>
          <w:rFonts w:ascii="Cambria" w:hAnsi="Cambria"/>
          <w:lang w:val="en-ID"/>
        </w:rPr>
        <w:t xml:space="preserve"> (sangat </w:t>
      </w:r>
      <w:proofErr w:type="spellStart"/>
      <w:r w:rsidR="009156D2" w:rsidRPr="00090E54">
        <w:rPr>
          <w:rFonts w:ascii="Cambria" w:hAnsi="Cambria"/>
          <w:lang w:val="en-ID"/>
        </w:rPr>
        <w:t>suka</w:t>
      </w:r>
      <w:proofErr w:type="spellEnd"/>
      <w:r w:rsidR="009156D2" w:rsidRPr="00090E54">
        <w:rPr>
          <w:rFonts w:ascii="Cambria" w:hAnsi="Cambria"/>
          <w:lang w:val="en-ID"/>
        </w:rPr>
        <w:t xml:space="preserve">). </w:t>
      </w:r>
      <w:r w:rsidR="00C71AF0">
        <w:rPr>
          <w:rFonts w:ascii="Cambria" w:hAnsi="Cambria"/>
          <w:lang w:val="en-ID"/>
        </w:rPr>
        <w:t>Pada</w:t>
      </w:r>
      <w:r w:rsidR="009156D2" w:rsidRPr="00090E54">
        <w:rPr>
          <w:rFonts w:ascii="Cambria" w:hAnsi="Cambria"/>
          <w:lang w:val="en-ID"/>
        </w:rPr>
        <w:t xml:space="preserve"> uji </w:t>
      </w:r>
      <w:proofErr w:type="spellStart"/>
      <w:r w:rsidR="009156D2" w:rsidRPr="00090E54">
        <w:rPr>
          <w:rFonts w:ascii="Cambria" w:hAnsi="Cambria"/>
          <w:lang w:val="en-ID"/>
        </w:rPr>
        <w:t>mutu</w:t>
      </w:r>
      <w:proofErr w:type="spellEnd"/>
      <w:r w:rsidR="009156D2" w:rsidRPr="00090E54">
        <w:rPr>
          <w:rFonts w:ascii="Cambria" w:hAnsi="Cambria"/>
          <w:lang w:val="en-ID"/>
        </w:rPr>
        <w:t xml:space="preserve"> </w:t>
      </w:r>
      <w:proofErr w:type="spellStart"/>
      <w:r w:rsidR="009156D2" w:rsidRPr="00090E54">
        <w:rPr>
          <w:rFonts w:ascii="Cambria" w:hAnsi="Cambria"/>
          <w:lang w:val="en-ID"/>
        </w:rPr>
        <w:t>hedonik</w:t>
      </w:r>
      <w:proofErr w:type="spellEnd"/>
      <w:r w:rsidR="009156D2" w:rsidRPr="00090E54">
        <w:rPr>
          <w:rFonts w:ascii="Cambria" w:hAnsi="Cambria"/>
          <w:lang w:val="en-ID"/>
        </w:rPr>
        <w:t xml:space="preserve"> </w:t>
      </w:r>
      <w:proofErr w:type="spellStart"/>
      <w:r w:rsidR="009156D2" w:rsidRPr="00090E54">
        <w:rPr>
          <w:rFonts w:ascii="Cambria" w:hAnsi="Cambria"/>
          <w:lang w:val="en-ID"/>
        </w:rPr>
        <w:t>skala</w:t>
      </w:r>
      <w:proofErr w:type="spellEnd"/>
      <w:r w:rsidR="009156D2" w:rsidRPr="00090E54">
        <w:rPr>
          <w:rFonts w:ascii="Cambria" w:hAnsi="Cambria"/>
          <w:lang w:val="en-ID"/>
        </w:rPr>
        <w:t xml:space="preserve"> </w:t>
      </w:r>
      <w:proofErr w:type="spellStart"/>
      <w:r w:rsidR="009156D2" w:rsidRPr="00090E54">
        <w:rPr>
          <w:rFonts w:ascii="Cambria" w:hAnsi="Cambria"/>
          <w:lang w:val="en-ID"/>
        </w:rPr>
        <w:t>penilaian</w:t>
      </w:r>
      <w:r w:rsidR="00C71AF0">
        <w:rPr>
          <w:rFonts w:ascii="Cambria" w:hAnsi="Cambria"/>
          <w:lang w:val="en-ID"/>
        </w:rPr>
        <w:t>nya</w:t>
      </w:r>
      <w:proofErr w:type="spellEnd"/>
      <w:r w:rsidR="00C71AF0">
        <w:rPr>
          <w:rFonts w:ascii="Cambria" w:hAnsi="Cambria"/>
          <w:lang w:val="en-ID"/>
        </w:rPr>
        <w:t xml:space="preserve"> </w:t>
      </w:r>
      <w:proofErr w:type="spellStart"/>
      <w:r w:rsidR="00C71AF0">
        <w:rPr>
          <w:rFonts w:ascii="Cambria" w:hAnsi="Cambria"/>
          <w:lang w:val="en-ID"/>
        </w:rPr>
        <w:t>berdasarkan</w:t>
      </w:r>
      <w:proofErr w:type="spellEnd"/>
      <w:r w:rsidR="00C71AF0">
        <w:rPr>
          <w:rFonts w:ascii="Cambria" w:hAnsi="Cambria"/>
          <w:lang w:val="en-ID"/>
        </w:rPr>
        <w:t xml:space="preserve"> masing-masing </w:t>
      </w:r>
      <w:proofErr w:type="spellStart"/>
      <w:r w:rsidR="00C71AF0">
        <w:rPr>
          <w:rFonts w:ascii="Cambria" w:hAnsi="Cambria"/>
          <w:lang w:val="en-ID"/>
        </w:rPr>
        <w:t>atribut</w:t>
      </w:r>
      <w:proofErr w:type="spellEnd"/>
      <w:r w:rsidR="00C71AF0">
        <w:rPr>
          <w:rFonts w:ascii="Cambria" w:hAnsi="Cambria"/>
          <w:lang w:val="en-ID"/>
        </w:rPr>
        <w:t xml:space="preserve">. Pada </w:t>
      </w:r>
      <w:proofErr w:type="spellStart"/>
      <w:r w:rsidR="00C71AF0">
        <w:rPr>
          <w:rFonts w:ascii="Cambria" w:hAnsi="Cambria"/>
          <w:lang w:val="en-ID"/>
        </w:rPr>
        <w:t>atribut</w:t>
      </w:r>
      <w:proofErr w:type="spellEnd"/>
      <w:r w:rsidR="009156D2" w:rsidRPr="00090E54">
        <w:rPr>
          <w:rFonts w:ascii="Cambria" w:hAnsi="Cambria"/>
          <w:lang w:val="en-ID"/>
        </w:rPr>
        <w:t xml:space="preserve"> </w:t>
      </w:r>
      <w:proofErr w:type="spellStart"/>
      <w:r w:rsidR="009156D2" w:rsidRPr="00090E54">
        <w:rPr>
          <w:rFonts w:ascii="Cambria" w:hAnsi="Cambria"/>
          <w:lang w:val="en-ID"/>
        </w:rPr>
        <w:t>warna</w:t>
      </w:r>
      <w:proofErr w:type="spellEnd"/>
      <w:r w:rsidR="009156D2" w:rsidRPr="00090E54">
        <w:rPr>
          <w:rFonts w:ascii="Cambria" w:hAnsi="Cambria"/>
          <w:lang w:val="en-ID"/>
        </w:rPr>
        <w:t xml:space="preserve"> </w:t>
      </w:r>
      <w:r w:rsidR="0014111F">
        <w:rPr>
          <w:rFonts w:ascii="Cambria" w:hAnsi="Cambria"/>
          <w:lang w:val="en-ID"/>
        </w:rPr>
        <w:t xml:space="preserve">biscuit </w:t>
      </w:r>
      <w:proofErr w:type="spellStart"/>
      <w:r w:rsidR="0014111F">
        <w:rPr>
          <w:rFonts w:ascii="Cambria" w:hAnsi="Cambria"/>
          <w:lang w:val="en-ID"/>
        </w:rPr>
        <w:t>semakin</w:t>
      </w:r>
      <w:proofErr w:type="spellEnd"/>
      <w:r w:rsidR="0014111F">
        <w:rPr>
          <w:rFonts w:ascii="Cambria" w:hAnsi="Cambria"/>
          <w:lang w:val="en-ID"/>
        </w:rPr>
        <w:t xml:space="preserve"> </w:t>
      </w:r>
      <w:proofErr w:type="spellStart"/>
      <w:r w:rsidR="0014111F">
        <w:rPr>
          <w:rFonts w:ascii="Cambria" w:hAnsi="Cambria"/>
          <w:lang w:val="en-ID"/>
        </w:rPr>
        <w:t>tinggi</w:t>
      </w:r>
      <w:proofErr w:type="spellEnd"/>
      <w:r w:rsidR="0014111F">
        <w:rPr>
          <w:rFonts w:ascii="Cambria" w:hAnsi="Cambria"/>
          <w:lang w:val="en-ID"/>
        </w:rPr>
        <w:t xml:space="preserve"> </w:t>
      </w:r>
      <w:proofErr w:type="spellStart"/>
      <w:r w:rsidR="0014111F">
        <w:rPr>
          <w:rFonts w:ascii="Cambria" w:hAnsi="Cambria"/>
          <w:lang w:val="en-ID"/>
        </w:rPr>
        <w:t>skala</w:t>
      </w:r>
      <w:proofErr w:type="spellEnd"/>
      <w:r w:rsidR="0014111F">
        <w:rPr>
          <w:rFonts w:ascii="Cambria" w:hAnsi="Cambria"/>
          <w:lang w:val="en-ID"/>
        </w:rPr>
        <w:t xml:space="preserve"> </w:t>
      </w:r>
      <w:proofErr w:type="spellStart"/>
      <w:r w:rsidR="0014111F">
        <w:rPr>
          <w:rFonts w:ascii="Cambria" w:hAnsi="Cambria"/>
          <w:lang w:val="en-ID"/>
        </w:rPr>
        <w:t>menunjukkan</w:t>
      </w:r>
      <w:proofErr w:type="spellEnd"/>
      <w:r w:rsidR="0014111F">
        <w:rPr>
          <w:rFonts w:ascii="Cambria" w:hAnsi="Cambria"/>
          <w:lang w:val="en-ID"/>
        </w:rPr>
        <w:t xml:space="preserve"> </w:t>
      </w:r>
      <w:proofErr w:type="spellStart"/>
      <w:r w:rsidR="0014111F">
        <w:rPr>
          <w:rFonts w:ascii="Cambria" w:hAnsi="Cambria"/>
          <w:lang w:val="en-ID"/>
        </w:rPr>
        <w:t>warna</w:t>
      </w:r>
      <w:proofErr w:type="spellEnd"/>
      <w:r w:rsidR="0014111F">
        <w:rPr>
          <w:rFonts w:ascii="Cambria" w:hAnsi="Cambria"/>
          <w:lang w:val="en-ID"/>
        </w:rPr>
        <w:t xml:space="preserve"> yang </w:t>
      </w:r>
      <w:proofErr w:type="spellStart"/>
      <w:r w:rsidR="0014111F">
        <w:rPr>
          <w:rFonts w:ascii="Cambria" w:hAnsi="Cambria"/>
          <w:lang w:val="en-ID"/>
        </w:rPr>
        <w:t>lebih</w:t>
      </w:r>
      <w:proofErr w:type="spellEnd"/>
      <w:r w:rsidR="0014111F">
        <w:rPr>
          <w:rFonts w:ascii="Cambria" w:hAnsi="Cambria"/>
          <w:lang w:val="en-ID"/>
        </w:rPr>
        <w:t xml:space="preserve"> </w:t>
      </w:r>
      <w:proofErr w:type="spellStart"/>
      <w:r w:rsidR="0014111F">
        <w:rPr>
          <w:rFonts w:ascii="Cambria" w:hAnsi="Cambria"/>
          <w:lang w:val="en-ID"/>
        </w:rPr>
        <w:t>muda</w:t>
      </w:r>
      <w:proofErr w:type="spellEnd"/>
      <w:r w:rsidR="0014111F">
        <w:rPr>
          <w:rFonts w:ascii="Cambria" w:hAnsi="Cambria"/>
          <w:lang w:val="en-ID"/>
        </w:rPr>
        <w:t xml:space="preserve"> </w:t>
      </w:r>
      <w:proofErr w:type="spellStart"/>
      <w:r w:rsidR="0014111F">
        <w:rPr>
          <w:rFonts w:ascii="Cambria" w:hAnsi="Cambria"/>
          <w:lang w:val="en-ID"/>
        </w:rPr>
        <w:t>yakni</w:t>
      </w:r>
      <w:proofErr w:type="spellEnd"/>
      <w:r w:rsidR="0014111F">
        <w:rPr>
          <w:rFonts w:ascii="Cambria" w:hAnsi="Cambria"/>
          <w:lang w:val="en-ID"/>
        </w:rPr>
        <w:t xml:space="preserve"> :</w:t>
      </w:r>
      <w:r w:rsidR="009156D2" w:rsidRPr="00090E54">
        <w:rPr>
          <w:rFonts w:ascii="Cambria" w:hAnsi="Cambria"/>
          <w:lang w:val="en-ID"/>
        </w:rPr>
        <w:t>1 (</w:t>
      </w:r>
      <w:proofErr w:type="spellStart"/>
      <w:r w:rsidR="009156D2" w:rsidRPr="00090E54">
        <w:rPr>
          <w:rFonts w:ascii="Cambria" w:hAnsi="Cambria"/>
          <w:lang w:val="en-ID"/>
        </w:rPr>
        <w:t>cokelat</w:t>
      </w:r>
      <w:proofErr w:type="spellEnd"/>
      <w:r w:rsidR="009156D2" w:rsidRPr="00090E54">
        <w:rPr>
          <w:rFonts w:ascii="Cambria" w:hAnsi="Cambria"/>
          <w:lang w:val="en-ID"/>
        </w:rPr>
        <w:t xml:space="preserve"> </w:t>
      </w:r>
      <w:proofErr w:type="spellStart"/>
      <w:r w:rsidR="009156D2" w:rsidRPr="00090E54">
        <w:rPr>
          <w:rFonts w:ascii="Cambria" w:hAnsi="Cambria"/>
          <w:lang w:val="en-ID"/>
        </w:rPr>
        <w:t>tua</w:t>
      </w:r>
      <w:proofErr w:type="spellEnd"/>
      <w:r w:rsidR="009156D2" w:rsidRPr="00090E54">
        <w:rPr>
          <w:rFonts w:ascii="Cambria" w:hAnsi="Cambria"/>
          <w:lang w:val="en-ID"/>
        </w:rPr>
        <w:t xml:space="preserve"> </w:t>
      </w:r>
      <w:proofErr w:type="spellStart"/>
      <w:r w:rsidR="009156D2" w:rsidRPr="00090E54">
        <w:rPr>
          <w:rFonts w:ascii="Cambria" w:hAnsi="Cambria"/>
          <w:lang w:val="en-ID"/>
        </w:rPr>
        <w:t>pekat</w:t>
      </w:r>
      <w:proofErr w:type="spellEnd"/>
      <w:r w:rsidR="009156D2" w:rsidRPr="00090E54">
        <w:rPr>
          <w:rFonts w:ascii="Cambria" w:hAnsi="Cambria"/>
          <w:lang w:val="en-ID"/>
        </w:rPr>
        <w:t xml:space="preserve">) </w:t>
      </w:r>
      <w:proofErr w:type="spellStart"/>
      <w:r w:rsidR="009156D2" w:rsidRPr="00090E54">
        <w:rPr>
          <w:rFonts w:ascii="Cambria" w:hAnsi="Cambria"/>
          <w:lang w:val="en-ID"/>
        </w:rPr>
        <w:t>hingga</w:t>
      </w:r>
      <w:proofErr w:type="spellEnd"/>
      <w:r w:rsidR="009156D2" w:rsidRPr="00090E54">
        <w:rPr>
          <w:rFonts w:ascii="Cambria" w:hAnsi="Cambria"/>
          <w:lang w:val="en-ID"/>
        </w:rPr>
        <w:t xml:space="preserve"> </w:t>
      </w:r>
      <w:r w:rsidR="00747D1D">
        <w:rPr>
          <w:rFonts w:ascii="Cambria" w:hAnsi="Cambria"/>
          <w:lang w:val="en-ID"/>
        </w:rPr>
        <w:t>5</w:t>
      </w:r>
      <w:r w:rsidR="009156D2" w:rsidRPr="00090E54">
        <w:rPr>
          <w:rFonts w:ascii="Cambria" w:hAnsi="Cambria"/>
          <w:lang w:val="en-ID"/>
        </w:rPr>
        <w:t xml:space="preserve"> (</w:t>
      </w:r>
      <w:proofErr w:type="spellStart"/>
      <w:r w:rsidR="009156D2" w:rsidRPr="00090E54">
        <w:rPr>
          <w:rFonts w:ascii="Cambria" w:hAnsi="Cambria"/>
          <w:lang w:val="en-ID"/>
        </w:rPr>
        <w:t>kuning</w:t>
      </w:r>
      <w:proofErr w:type="spellEnd"/>
      <w:r w:rsidR="009156D2" w:rsidRPr="00090E54">
        <w:rPr>
          <w:rFonts w:ascii="Cambria" w:hAnsi="Cambria"/>
          <w:lang w:val="en-ID"/>
        </w:rPr>
        <w:t>)</w:t>
      </w:r>
      <w:r w:rsidR="0014111F">
        <w:rPr>
          <w:rFonts w:ascii="Cambria" w:hAnsi="Cambria"/>
          <w:lang w:val="en-ID"/>
        </w:rPr>
        <w:t xml:space="preserve">. Pada </w:t>
      </w:r>
      <w:proofErr w:type="spellStart"/>
      <w:r w:rsidR="0014111F">
        <w:rPr>
          <w:rFonts w:ascii="Cambria" w:hAnsi="Cambria"/>
          <w:lang w:val="en-ID"/>
        </w:rPr>
        <w:t>atribut</w:t>
      </w:r>
      <w:proofErr w:type="spellEnd"/>
      <w:r w:rsidR="009156D2" w:rsidRPr="00090E54">
        <w:rPr>
          <w:rFonts w:ascii="Cambria" w:hAnsi="Cambria"/>
          <w:lang w:val="en-ID"/>
        </w:rPr>
        <w:t xml:space="preserve"> aroma </w:t>
      </w:r>
      <w:proofErr w:type="spellStart"/>
      <w:r w:rsidR="0014111F">
        <w:rPr>
          <w:rFonts w:ascii="Cambria" w:hAnsi="Cambria"/>
          <w:lang w:val="en-ID"/>
        </w:rPr>
        <w:t>langu</w:t>
      </w:r>
      <w:proofErr w:type="spellEnd"/>
      <w:r w:rsidR="0014111F">
        <w:rPr>
          <w:rFonts w:ascii="Cambria" w:hAnsi="Cambria"/>
          <w:lang w:val="en-ID"/>
        </w:rPr>
        <w:t xml:space="preserve"> </w:t>
      </w:r>
      <w:proofErr w:type="spellStart"/>
      <w:r w:rsidR="0014111F">
        <w:rPr>
          <w:rFonts w:ascii="Cambria" w:hAnsi="Cambria"/>
          <w:lang w:val="en-ID"/>
        </w:rPr>
        <w:t>dari</w:t>
      </w:r>
      <w:proofErr w:type="spellEnd"/>
      <w:r w:rsidR="0014111F">
        <w:rPr>
          <w:rFonts w:ascii="Cambria" w:hAnsi="Cambria"/>
          <w:lang w:val="en-ID"/>
        </w:rPr>
        <w:t xml:space="preserve"> </w:t>
      </w:r>
      <w:proofErr w:type="spellStart"/>
      <w:r w:rsidR="00747D1D">
        <w:rPr>
          <w:rFonts w:ascii="Cambria" w:hAnsi="Cambria"/>
          <w:lang w:val="en-ID"/>
        </w:rPr>
        <w:t>rempah</w:t>
      </w:r>
      <w:proofErr w:type="spellEnd"/>
      <w:r w:rsidR="009156D2" w:rsidRPr="00090E54">
        <w:rPr>
          <w:rFonts w:ascii="Cambria" w:hAnsi="Cambria"/>
          <w:lang w:val="en-ID"/>
        </w:rPr>
        <w:t xml:space="preserve"> </w:t>
      </w:r>
      <w:proofErr w:type="spellStart"/>
      <w:r w:rsidR="0014111F">
        <w:rPr>
          <w:rFonts w:ascii="Cambria" w:hAnsi="Cambria"/>
          <w:lang w:val="en-ID"/>
        </w:rPr>
        <w:t>semakin</w:t>
      </w:r>
      <w:proofErr w:type="spellEnd"/>
      <w:r w:rsidR="0014111F">
        <w:rPr>
          <w:rFonts w:ascii="Cambria" w:hAnsi="Cambria"/>
          <w:lang w:val="en-ID"/>
        </w:rPr>
        <w:t xml:space="preserve"> </w:t>
      </w:r>
      <w:proofErr w:type="spellStart"/>
      <w:r w:rsidR="0014111F">
        <w:rPr>
          <w:rFonts w:ascii="Cambria" w:hAnsi="Cambria"/>
          <w:lang w:val="en-ID"/>
        </w:rPr>
        <w:t>tinggi</w:t>
      </w:r>
      <w:proofErr w:type="spellEnd"/>
      <w:r w:rsidR="0014111F">
        <w:rPr>
          <w:rFonts w:ascii="Cambria" w:hAnsi="Cambria"/>
          <w:lang w:val="en-ID"/>
        </w:rPr>
        <w:t xml:space="preserve"> </w:t>
      </w:r>
      <w:proofErr w:type="spellStart"/>
      <w:r w:rsidR="0014111F">
        <w:rPr>
          <w:rFonts w:ascii="Cambria" w:hAnsi="Cambria"/>
          <w:lang w:val="en-ID"/>
        </w:rPr>
        <w:t>skala</w:t>
      </w:r>
      <w:proofErr w:type="spellEnd"/>
      <w:r w:rsidR="0014111F">
        <w:rPr>
          <w:rFonts w:ascii="Cambria" w:hAnsi="Cambria"/>
          <w:lang w:val="en-ID"/>
        </w:rPr>
        <w:t xml:space="preserve"> </w:t>
      </w:r>
      <w:proofErr w:type="spellStart"/>
      <w:r w:rsidR="0014111F">
        <w:rPr>
          <w:rFonts w:ascii="Cambria" w:hAnsi="Cambria"/>
          <w:lang w:val="en-ID"/>
        </w:rPr>
        <w:t>menunjukkan</w:t>
      </w:r>
      <w:proofErr w:type="spellEnd"/>
      <w:r w:rsidR="0014111F">
        <w:rPr>
          <w:rFonts w:ascii="Cambria" w:hAnsi="Cambria"/>
          <w:lang w:val="en-ID"/>
        </w:rPr>
        <w:t xml:space="preserve"> </w:t>
      </w:r>
      <w:proofErr w:type="spellStart"/>
      <w:r w:rsidR="0014111F">
        <w:rPr>
          <w:rFonts w:ascii="Cambria" w:hAnsi="Cambria"/>
          <w:lang w:val="en-ID"/>
        </w:rPr>
        <w:t>penurunan</w:t>
      </w:r>
      <w:proofErr w:type="spellEnd"/>
      <w:r w:rsidR="0014111F">
        <w:rPr>
          <w:rFonts w:ascii="Cambria" w:hAnsi="Cambria"/>
          <w:lang w:val="en-ID"/>
        </w:rPr>
        <w:t xml:space="preserve"> aroma </w:t>
      </w:r>
      <w:proofErr w:type="spellStart"/>
      <w:r w:rsidR="0014111F">
        <w:rPr>
          <w:rFonts w:ascii="Cambria" w:hAnsi="Cambria"/>
          <w:lang w:val="en-ID"/>
        </w:rPr>
        <w:t>langu</w:t>
      </w:r>
      <w:proofErr w:type="spellEnd"/>
      <w:r w:rsidR="0014111F">
        <w:rPr>
          <w:rFonts w:ascii="Cambria" w:hAnsi="Cambria"/>
          <w:lang w:val="en-ID"/>
        </w:rPr>
        <w:t xml:space="preserve"> </w:t>
      </w:r>
      <w:proofErr w:type="spellStart"/>
      <w:proofErr w:type="gramStart"/>
      <w:r w:rsidR="0014111F">
        <w:rPr>
          <w:rFonts w:ascii="Cambria" w:hAnsi="Cambria"/>
          <w:lang w:val="en-ID"/>
        </w:rPr>
        <w:t>yakni</w:t>
      </w:r>
      <w:proofErr w:type="spellEnd"/>
      <w:r w:rsidR="0014111F">
        <w:rPr>
          <w:rFonts w:ascii="Cambria" w:hAnsi="Cambria"/>
          <w:lang w:val="en-ID"/>
        </w:rPr>
        <w:t xml:space="preserve"> :</w:t>
      </w:r>
      <w:proofErr w:type="gramEnd"/>
      <w:r w:rsidR="009156D2" w:rsidRPr="00090E54">
        <w:rPr>
          <w:rFonts w:ascii="Cambria" w:hAnsi="Cambria"/>
          <w:lang w:val="en-ID"/>
        </w:rPr>
        <w:t xml:space="preserve"> 1 (sangat </w:t>
      </w:r>
      <w:proofErr w:type="spellStart"/>
      <w:r w:rsidR="009156D2" w:rsidRPr="00090E54">
        <w:rPr>
          <w:rFonts w:ascii="Cambria" w:hAnsi="Cambria"/>
          <w:lang w:val="en-ID"/>
        </w:rPr>
        <w:t>kuat</w:t>
      </w:r>
      <w:proofErr w:type="spellEnd"/>
      <w:r w:rsidR="009156D2" w:rsidRPr="00090E54">
        <w:rPr>
          <w:rFonts w:ascii="Cambria" w:hAnsi="Cambria"/>
          <w:lang w:val="en-ID"/>
        </w:rPr>
        <w:t xml:space="preserve">) </w:t>
      </w:r>
      <w:proofErr w:type="spellStart"/>
      <w:r w:rsidR="009156D2" w:rsidRPr="00090E54">
        <w:rPr>
          <w:rFonts w:ascii="Cambria" w:hAnsi="Cambria"/>
          <w:lang w:val="en-ID"/>
        </w:rPr>
        <w:t>hingga</w:t>
      </w:r>
      <w:proofErr w:type="spellEnd"/>
      <w:r w:rsidR="009156D2" w:rsidRPr="00090E54">
        <w:rPr>
          <w:rFonts w:ascii="Cambria" w:hAnsi="Cambria"/>
          <w:lang w:val="en-ID"/>
        </w:rPr>
        <w:t xml:space="preserve"> </w:t>
      </w:r>
      <w:r w:rsidR="00747D1D">
        <w:rPr>
          <w:rFonts w:ascii="Cambria" w:hAnsi="Cambria"/>
          <w:lang w:val="en-ID"/>
        </w:rPr>
        <w:t>5</w:t>
      </w:r>
      <w:r w:rsidR="009156D2" w:rsidRPr="00090E54">
        <w:rPr>
          <w:rFonts w:ascii="Cambria" w:hAnsi="Cambria"/>
          <w:lang w:val="en-ID"/>
        </w:rPr>
        <w:t xml:space="preserve"> (sangat </w:t>
      </w:r>
      <w:proofErr w:type="spellStart"/>
      <w:r w:rsidR="009156D2" w:rsidRPr="00090E54">
        <w:rPr>
          <w:rFonts w:ascii="Cambria" w:hAnsi="Cambria"/>
          <w:lang w:val="en-ID"/>
        </w:rPr>
        <w:t>lemah</w:t>
      </w:r>
      <w:proofErr w:type="spellEnd"/>
      <w:r w:rsidR="009156D2" w:rsidRPr="00090E54">
        <w:rPr>
          <w:rFonts w:ascii="Cambria" w:hAnsi="Cambria"/>
          <w:lang w:val="en-ID"/>
        </w:rPr>
        <w:t>)</w:t>
      </w:r>
      <w:r w:rsidR="0014111F">
        <w:rPr>
          <w:rFonts w:ascii="Cambria" w:hAnsi="Cambria"/>
          <w:lang w:val="en-ID"/>
        </w:rPr>
        <w:t xml:space="preserve">. Pada </w:t>
      </w:r>
      <w:proofErr w:type="spellStart"/>
      <w:r w:rsidR="0014111F">
        <w:rPr>
          <w:rFonts w:ascii="Cambria" w:hAnsi="Cambria"/>
          <w:lang w:val="en-ID"/>
        </w:rPr>
        <w:t>atribut</w:t>
      </w:r>
      <w:proofErr w:type="spellEnd"/>
      <w:r w:rsidR="0014111F">
        <w:rPr>
          <w:rFonts w:ascii="Cambria" w:hAnsi="Cambria"/>
          <w:lang w:val="en-ID"/>
        </w:rPr>
        <w:t xml:space="preserve"> rasa biscuit </w:t>
      </w:r>
      <w:proofErr w:type="spellStart"/>
      <w:r w:rsidR="0014111F">
        <w:rPr>
          <w:rFonts w:ascii="Cambria" w:hAnsi="Cambria"/>
          <w:lang w:val="en-ID"/>
        </w:rPr>
        <w:t>skala</w:t>
      </w:r>
      <w:proofErr w:type="spellEnd"/>
      <w:r w:rsidR="0014111F">
        <w:rPr>
          <w:rFonts w:ascii="Cambria" w:hAnsi="Cambria"/>
          <w:lang w:val="en-ID"/>
        </w:rPr>
        <w:t xml:space="preserve"> </w:t>
      </w:r>
      <w:proofErr w:type="spellStart"/>
      <w:r w:rsidR="0014111F">
        <w:rPr>
          <w:rFonts w:ascii="Cambria" w:hAnsi="Cambria"/>
          <w:lang w:val="en-ID"/>
        </w:rPr>
        <w:t>penilaian</w:t>
      </w:r>
      <w:proofErr w:type="spellEnd"/>
      <w:r w:rsidR="0014111F">
        <w:rPr>
          <w:rFonts w:ascii="Cambria" w:hAnsi="Cambria"/>
          <w:lang w:val="en-ID"/>
        </w:rPr>
        <w:t xml:space="preserve"> </w:t>
      </w:r>
      <w:proofErr w:type="spellStart"/>
      <w:r w:rsidR="0014111F">
        <w:rPr>
          <w:rFonts w:ascii="Cambria" w:hAnsi="Cambria"/>
          <w:lang w:val="en-ID"/>
        </w:rPr>
        <w:t>semakin</w:t>
      </w:r>
      <w:proofErr w:type="spellEnd"/>
      <w:r w:rsidR="00D741E3">
        <w:rPr>
          <w:rFonts w:ascii="Cambria" w:hAnsi="Cambria"/>
          <w:lang w:val="en-ID"/>
        </w:rPr>
        <w:t xml:space="preserve"> </w:t>
      </w:r>
      <w:proofErr w:type="spellStart"/>
      <w:r w:rsidR="0014111F">
        <w:rPr>
          <w:rFonts w:ascii="Cambria" w:hAnsi="Cambria"/>
          <w:lang w:val="en-ID"/>
        </w:rPr>
        <w:t>tinggi</w:t>
      </w:r>
      <w:proofErr w:type="spellEnd"/>
      <w:r w:rsidR="0014111F">
        <w:rPr>
          <w:rFonts w:ascii="Cambria" w:hAnsi="Cambria"/>
          <w:lang w:val="en-ID"/>
        </w:rPr>
        <w:t xml:space="preserve"> </w:t>
      </w:r>
      <w:proofErr w:type="spellStart"/>
      <w:r w:rsidR="0014111F">
        <w:rPr>
          <w:rFonts w:ascii="Cambria" w:hAnsi="Cambria"/>
          <w:lang w:val="en-ID"/>
        </w:rPr>
        <w:t>menunjuukan</w:t>
      </w:r>
      <w:proofErr w:type="spellEnd"/>
      <w:r w:rsidR="0014111F">
        <w:rPr>
          <w:rFonts w:ascii="Cambria" w:hAnsi="Cambria"/>
          <w:lang w:val="en-ID"/>
        </w:rPr>
        <w:t xml:space="preserve"> </w:t>
      </w:r>
      <w:proofErr w:type="spellStart"/>
      <w:r w:rsidR="0014111F">
        <w:rPr>
          <w:rFonts w:ascii="Cambria" w:hAnsi="Cambria"/>
          <w:lang w:val="en-ID"/>
        </w:rPr>
        <w:t>penambahan</w:t>
      </w:r>
      <w:proofErr w:type="spellEnd"/>
      <w:r w:rsidR="0014111F">
        <w:rPr>
          <w:rFonts w:ascii="Cambria" w:hAnsi="Cambria"/>
          <w:lang w:val="en-ID"/>
        </w:rPr>
        <w:t xml:space="preserve"> rasa </w:t>
      </w:r>
      <w:proofErr w:type="spellStart"/>
      <w:r w:rsidR="0014111F">
        <w:rPr>
          <w:rFonts w:ascii="Cambria" w:hAnsi="Cambria"/>
          <w:lang w:val="en-ID"/>
        </w:rPr>
        <w:t>manis</w:t>
      </w:r>
      <w:proofErr w:type="spellEnd"/>
      <w:r w:rsidR="0014111F">
        <w:rPr>
          <w:rFonts w:ascii="Cambria" w:hAnsi="Cambria"/>
          <w:lang w:val="en-ID"/>
        </w:rPr>
        <w:t xml:space="preserve"> </w:t>
      </w:r>
      <w:proofErr w:type="spellStart"/>
      <w:proofErr w:type="gramStart"/>
      <w:r w:rsidR="0014111F">
        <w:rPr>
          <w:rFonts w:ascii="Cambria" w:hAnsi="Cambria"/>
          <w:lang w:val="en-ID"/>
        </w:rPr>
        <w:t>yakni</w:t>
      </w:r>
      <w:proofErr w:type="spellEnd"/>
      <w:r w:rsidR="0014111F">
        <w:rPr>
          <w:rFonts w:ascii="Cambria" w:hAnsi="Cambria"/>
          <w:lang w:val="en-ID"/>
        </w:rPr>
        <w:t xml:space="preserve"> :</w:t>
      </w:r>
      <w:proofErr w:type="gramEnd"/>
      <w:r w:rsidR="0014111F">
        <w:rPr>
          <w:rFonts w:ascii="Cambria" w:hAnsi="Cambria"/>
          <w:lang w:val="en-ID"/>
        </w:rPr>
        <w:t xml:space="preserve"> </w:t>
      </w:r>
      <w:r w:rsidR="009156D2" w:rsidRPr="00090E54">
        <w:rPr>
          <w:rFonts w:ascii="Cambria" w:hAnsi="Cambria"/>
          <w:lang w:val="en-ID"/>
        </w:rPr>
        <w:t xml:space="preserve">1 (sangat </w:t>
      </w:r>
      <w:proofErr w:type="spellStart"/>
      <w:r w:rsidR="009156D2" w:rsidRPr="00090E54">
        <w:rPr>
          <w:rFonts w:ascii="Cambria" w:hAnsi="Cambria"/>
          <w:lang w:val="en-ID"/>
        </w:rPr>
        <w:t>pahit</w:t>
      </w:r>
      <w:proofErr w:type="spellEnd"/>
      <w:r w:rsidR="009156D2" w:rsidRPr="00090E54">
        <w:rPr>
          <w:rFonts w:ascii="Cambria" w:hAnsi="Cambria"/>
          <w:lang w:val="en-ID"/>
        </w:rPr>
        <w:t xml:space="preserve">) </w:t>
      </w:r>
      <w:proofErr w:type="spellStart"/>
      <w:r w:rsidR="009156D2" w:rsidRPr="00090E54">
        <w:rPr>
          <w:rFonts w:ascii="Cambria" w:hAnsi="Cambria"/>
          <w:lang w:val="en-ID"/>
        </w:rPr>
        <w:t>hingga</w:t>
      </w:r>
      <w:proofErr w:type="spellEnd"/>
      <w:r w:rsidR="009156D2" w:rsidRPr="00090E54">
        <w:rPr>
          <w:rFonts w:ascii="Cambria" w:hAnsi="Cambria"/>
          <w:lang w:val="en-ID"/>
        </w:rPr>
        <w:t xml:space="preserve"> </w:t>
      </w:r>
      <w:r w:rsidR="00747D1D">
        <w:rPr>
          <w:rFonts w:ascii="Cambria" w:hAnsi="Cambria"/>
          <w:lang w:val="en-ID"/>
        </w:rPr>
        <w:t>5</w:t>
      </w:r>
      <w:r w:rsidR="009156D2" w:rsidRPr="00090E54">
        <w:rPr>
          <w:rFonts w:ascii="Cambria" w:hAnsi="Cambria"/>
          <w:lang w:val="en-ID"/>
        </w:rPr>
        <w:t xml:space="preserve"> (sangat </w:t>
      </w:r>
      <w:proofErr w:type="spellStart"/>
      <w:r w:rsidR="009156D2" w:rsidRPr="00090E54">
        <w:rPr>
          <w:rFonts w:ascii="Cambria" w:hAnsi="Cambria"/>
          <w:lang w:val="en-ID"/>
        </w:rPr>
        <w:t>manis</w:t>
      </w:r>
      <w:proofErr w:type="spellEnd"/>
      <w:r w:rsidR="009156D2" w:rsidRPr="00090E54">
        <w:rPr>
          <w:rFonts w:ascii="Cambria" w:hAnsi="Cambria"/>
          <w:lang w:val="en-ID"/>
        </w:rPr>
        <w:t>)</w:t>
      </w:r>
      <w:r w:rsidR="0014111F">
        <w:rPr>
          <w:rFonts w:ascii="Cambria" w:hAnsi="Cambria"/>
          <w:lang w:val="en-ID"/>
        </w:rPr>
        <w:t xml:space="preserve">. Pada </w:t>
      </w:r>
      <w:proofErr w:type="spellStart"/>
      <w:r w:rsidR="0014111F">
        <w:rPr>
          <w:rFonts w:ascii="Cambria" w:hAnsi="Cambria"/>
          <w:lang w:val="en-ID"/>
        </w:rPr>
        <w:t>atribut</w:t>
      </w:r>
      <w:proofErr w:type="spellEnd"/>
      <w:r w:rsidR="0014111F">
        <w:rPr>
          <w:rFonts w:ascii="Cambria" w:hAnsi="Cambria"/>
          <w:lang w:val="en-ID"/>
        </w:rPr>
        <w:t xml:space="preserve"> </w:t>
      </w:r>
      <w:proofErr w:type="spellStart"/>
      <w:r w:rsidR="009156D2" w:rsidRPr="00090E54">
        <w:rPr>
          <w:rFonts w:ascii="Cambria" w:hAnsi="Cambria"/>
          <w:lang w:val="en-ID"/>
        </w:rPr>
        <w:t>tekstur</w:t>
      </w:r>
      <w:proofErr w:type="spellEnd"/>
      <w:r w:rsidR="009156D2" w:rsidRPr="00090E54">
        <w:rPr>
          <w:rFonts w:ascii="Cambria" w:hAnsi="Cambria"/>
          <w:lang w:val="en-ID"/>
        </w:rPr>
        <w:t xml:space="preserve"> </w:t>
      </w:r>
      <w:r w:rsidR="0014111F">
        <w:rPr>
          <w:rFonts w:ascii="Cambria" w:hAnsi="Cambria"/>
          <w:lang w:val="en-ID"/>
        </w:rPr>
        <w:t xml:space="preserve">biscuit </w:t>
      </w:r>
      <w:proofErr w:type="spellStart"/>
      <w:r w:rsidR="0014111F">
        <w:rPr>
          <w:rFonts w:ascii="Cambria" w:hAnsi="Cambria"/>
          <w:lang w:val="en-ID"/>
        </w:rPr>
        <w:t>semakin</w:t>
      </w:r>
      <w:proofErr w:type="spellEnd"/>
      <w:r w:rsidR="0014111F">
        <w:rPr>
          <w:rFonts w:ascii="Cambria" w:hAnsi="Cambria"/>
          <w:lang w:val="en-ID"/>
        </w:rPr>
        <w:t xml:space="preserve"> </w:t>
      </w:r>
      <w:proofErr w:type="spellStart"/>
      <w:r w:rsidR="0014111F">
        <w:rPr>
          <w:rFonts w:ascii="Cambria" w:hAnsi="Cambria"/>
          <w:lang w:val="en-ID"/>
        </w:rPr>
        <w:t>tinggi</w:t>
      </w:r>
      <w:proofErr w:type="spellEnd"/>
      <w:r w:rsidR="0014111F">
        <w:rPr>
          <w:rFonts w:ascii="Cambria" w:hAnsi="Cambria"/>
          <w:lang w:val="en-ID"/>
        </w:rPr>
        <w:t xml:space="preserve"> </w:t>
      </w:r>
      <w:proofErr w:type="spellStart"/>
      <w:r w:rsidR="0014111F">
        <w:rPr>
          <w:rFonts w:ascii="Cambria" w:hAnsi="Cambria"/>
          <w:lang w:val="en-ID"/>
        </w:rPr>
        <w:t>skala</w:t>
      </w:r>
      <w:proofErr w:type="spellEnd"/>
      <w:r w:rsidR="0014111F">
        <w:rPr>
          <w:rFonts w:ascii="Cambria" w:hAnsi="Cambria"/>
          <w:lang w:val="en-ID"/>
        </w:rPr>
        <w:t xml:space="preserve"> </w:t>
      </w:r>
      <w:proofErr w:type="spellStart"/>
      <w:r w:rsidR="0014111F">
        <w:rPr>
          <w:rFonts w:ascii="Cambria" w:hAnsi="Cambria"/>
          <w:lang w:val="en-ID"/>
        </w:rPr>
        <w:t>menunjukkan</w:t>
      </w:r>
      <w:proofErr w:type="spellEnd"/>
      <w:r w:rsidR="0014111F">
        <w:rPr>
          <w:rFonts w:ascii="Cambria" w:hAnsi="Cambria"/>
          <w:lang w:val="en-ID"/>
        </w:rPr>
        <w:t xml:space="preserve"> </w:t>
      </w:r>
      <w:proofErr w:type="spellStart"/>
      <w:r w:rsidR="0014111F">
        <w:rPr>
          <w:rFonts w:ascii="Cambria" w:hAnsi="Cambria"/>
          <w:lang w:val="en-ID"/>
        </w:rPr>
        <w:t>tekstur</w:t>
      </w:r>
      <w:proofErr w:type="spellEnd"/>
      <w:r w:rsidR="0014111F">
        <w:rPr>
          <w:rFonts w:ascii="Cambria" w:hAnsi="Cambria"/>
          <w:lang w:val="en-ID"/>
        </w:rPr>
        <w:t xml:space="preserve"> yang </w:t>
      </w:r>
      <w:proofErr w:type="spellStart"/>
      <w:r w:rsidR="0014111F">
        <w:rPr>
          <w:rFonts w:ascii="Cambria" w:hAnsi="Cambria"/>
          <w:lang w:val="en-ID"/>
        </w:rPr>
        <w:t>semakin</w:t>
      </w:r>
      <w:proofErr w:type="spellEnd"/>
      <w:r w:rsidR="0014111F">
        <w:rPr>
          <w:rFonts w:ascii="Cambria" w:hAnsi="Cambria"/>
          <w:lang w:val="en-ID"/>
        </w:rPr>
        <w:t xml:space="preserve"> </w:t>
      </w:r>
      <w:proofErr w:type="spellStart"/>
      <w:r w:rsidR="0014111F">
        <w:rPr>
          <w:rFonts w:ascii="Cambria" w:hAnsi="Cambria"/>
          <w:lang w:val="en-ID"/>
        </w:rPr>
        <w:t>rapuh</w:t>
      </w:r>
      <w:proofErr w:type="spellEnd"/>
      <w:r w:rsidR="0014111F">
        <w:rPr>
          <w:rFonts w:ascii="Cambria" w:hAnsi="Cambria"/>
          <w:lang w:val="en-ID"/>
        </w:rPr>
        <w:t xml:space="preserve"> </w:t>
      </w:r>
      <w:proofErr w:type="spellStart"/>
      <w:proofErr w:type="gramStart"/>
      <w:r w:rsidR="0014111F">
        <w:rPr>
          <w:rFonts w:ascii="Cambria" w:hAnsi="Cambria"/>
          <w:lang w:val="en-ID"/>
        </w:rPr>
        <w:t>yakni</w:t>
      </w:r>
      <w:proofErr w:type="spellEnd"/>
      <w:r w:rsidR="0014111F">
        <w:rPr>
          <w:rFonts w:ascii="Cambria" w:hAnsi="Cambria"/>
          <w:lang w:val="en-ID"/>
        </w:rPr>
        <w:t xml:space="preserve"> :</w:t>
      </w:r>
      <w:proofErr w:type="gramEnd"/>
      <w:r w:rsidR="0014111F">
        <w:rPr>
          <w:rFonts w:ascii="Cambria" w:hAnsi="Cambria"/>
          <w:lang w:val="en-ID"/>
        </w:rPr>
        <w:t xml:space="preserve"> </w:t>
      </w:r>
      <w:r w:rsidR="009156D2" w:rsidRPr="00090E54">
        <w:rPr>
          <w:rFonts w:ascii="Cambria" w:hAnsi="Cambria"/>
          <w:lang w:val="en-ID"/>
        </w:rPr>
        <w:t xml:space="preserve">1 (sangat </w:t>
      </w:r>
      <w:proofErr w:type="spellStart"/>
      <w:r w:rsidR="009156D2" w:rsidRPr="00090E54">
        <w:rPr>
          <w:rFonts w:ascii="Cambria" w:hAnsi="Cambria"/>
          <w:lang w:val="en-ID"/>
        </w:rPr>
        <w:t>keras</w:t>
      </w:r>
      <w:proofErr w:type="spellEnd"/>
      <w:r w:rsidR="009156D2" w:rsidRPr="00090E54">
        <w:rPr>
          <w:rFonts w:ascii="Cambria" w:hAnsi="Cambria"/>
          <w:lang w:val="en-ID"/>
        </w:rPr>
        <w:t xml:space="preserve">) </w:t>
      </w:r>
      <w:proofErr w:type="spellStart"/>
      <w:r w:rsidR="009156D2" w:rsidRPr="00090E54">
        <w:rPr>
          <w:rFonts w:ascii="Cambria" w:hAnsi="Cambria"/>
          <w:lang w:val="en-ID"/>
        </w:rPr>
        <w:t>hingga</w:t>
      </w:r>
      <w:proofErr w:type="spellEnd"/>
      <w:r w:rsidR="009156D2" w:rsidRPr="00090E54">
        <w:rPr>
          <w:rFonts w:ascii="Cambria" w:hAnsi="Cambria"/>
          <w:lang w:val="en-ID"/>
        </w:rPr>
        <w:t xml:space="preserve"> </w:t>
      </w:r>
      <w:r w:rsidR="00747D1D">
        <w:rPr>
          <w:rFonts w:ascii="Cambria" w:hAnsi="Cambria"/>
          <w:lang w:val="en-ID"/>
        </w:rPr>
        <w:t>5</w:t>
      </w:r>
      <w:r w:rsidR="009156D2" w:rsidRPr="00090E54">
        <w:rPr>
          <w:rFonts w:ascii="Cambria" w:hAnsi="Cambria"/>
          <w:lang w:val="en-ID"/>
        </w:rPr>
        <w:t xml:space="preserve"> (sangat </w:t>
      </w:r>
      <w:proofErr w:type="spellStart"/>
      <w:r w:rsidR="00D741E3">
        <w:rPr>
          <w:rFonts w:ascii="Cambria" w:hAnsi="Cambria"/>
          <w:lang w:val="en-ID"/>
        </w:rPr>
        <w:t>rapuh</w:t>
      </w:r>
      <w:proofErr w:type="spellEnd"/>
      <w:r w:rsidR="009156D2" w:rsidRPr="00090E54">
        <w:rPr>
          <w:rFonts w:ascii="Cambria" w:hAnsi="Cambria"/>
          <w:lang w:val="en-ID"/>
        </w:rPr>
        <w:t>)</w:t>
      </w:r>
      <w:r w:rsidR="00D741E3">
        <w:rPr>
          <w:rFonts w:ascii="Cambria" w:hAnsi="Cambria"/>
          <w:lang w:val="en-ID"/>
        </w:rPr>
        <w:t xml:space="preserve">. Pada </w:t>
      </w:r>
      <w:proofErr w:type="spellStart"/>
      <w:proofErr w:type="gramStart"/>
      <w:r w:rsidR="00D741E3">
        <w:rPr>
          <w:rFonts w:ascii="Cambria" w:hAnsi="Cambria"/>
          <w:lang w:val="en-ID"/>
        </w:rPr>
        <w:t>atribut</w:t>
      </w:r>
      <w:proofErr w:type="spellEnd"/>
      <w:r w:rsidR="00D741E3">
        <w:rPr>
          <w:rFonts w:ascii="Cambria" w:hAnsi="Cambria"/>
          <w:lang w:val="en-ID"/>
        </w:rPr>
        <w:t xml:space="preserve"> </w:t>
      </w:r>
      <w:r w:rsidR="009156D2" w:rsidRPr="00090E54">
        <w:rPr>
          <w:rFonts w:ascii="Cambria" w:hAnsi="Cambria"/>
          <w:lang w:val="en-ID"/>
        </w:rPr>
        <w:t xml:space="preserve"> </w:t>
      </w:r>
      <w:r w:rsidR="007346E4" w:rsidRPr="007346E4">
        <w:rPr>
          <w:rFonts w:ascii="Cambria" w:hAnsi="Cambria"/>
          <w:i/>
          <w:iCs/>
          <w:lang w:val="en-ID"/>
        </w:rPr>
        <w:t>aftertaste</w:t>
      </w:r>
      <w:proofErr w:type="gramEnd"/>
      <w:r w:rsidR="00D741E3">
        <w:rPr>
          <w:rFonts w:ascii="Cambria" w:hAnsi="Cambria"/>
          <w:lang w:val="en-ID"/>
        </w:rPr>
        <w:t xml:space="preserve"> biscuit </w:t>
      </w:r>
      <w:proofErr w:type="spellStart"/>
      <w:r w:rsidR="00D741E3">
        <w:rPr>
          <w:rFonts w:ascii="Cambria" w:hAnsi="Cambria"/>
          <w:lang w:val="en-ID"/>
        </w:rPr>
        <w:t>skala</w:t>
      </w:r>
      <w:proofErr w:type="spellEnd"/>
      <w:r w:rsidR="00D741E3">
        <w:rPr>
          <w:rFonts w:ascii="Cambria" w:hAnsi="Cambria"/>
          <w:lang w:val="en-ID"/>
        </w:rPr>
        <w:t xml:space="preserve"> </w:t>
      </w:r>
      <w:proofErr w:type="spellStart"/>
      <w:r w:rsidR="00D741E3">
        <w:rPr>
          <w:rFonts w:ascii="Cambria" w:hAnsi="Cambria"/>
          <w:lang w:val="en-ID"/>
        </w:rPr>
        <w:t>penilaian</w:t>
      </w:r>
      <w:proofErr w:type="spellEnd"/>
      <w:r w:rsidR="00D741E3">
        <w:rPr>
          <w:rFonts w:ascii="Cambria" w:hAnsi="Cambria"/>
          <w:lang w:val="en-ID"/>
        </w:rPr>
        <w:t xml:space="preserve"> </w:t>
      </w:r>
      <w:proofErr w:type="spellStart"/>
      <w:r w:rsidR="00D741E3">
        <w:rPr>
          <w:rFonts w:ascii="Cambria" w:hAnsi="Cambria"/>
          <w:lang w:val="en-ID"/>
        </w:rPr>
        <w:t>semakin</w:t>
      </w:r>
      <w:proofErr w:type="spellEnd"/>
      <w:r w:rsidR="00D741E3">
        <w:rPr>
          <w:rFonts w:ascii="Cambria" w:hAnsi="Cambria"/>
          <w:lang w:val="en-ID"/>
        </w:rPr>
        <w:t xml:space="preserve"> </w:t>
      </w:r>
      <w:proofErr w:type="spellStart"/>
      <w:r w:rsidR="00D741E3">
        <w:rPr>
          <w:rFonts w:ascii="Cambria" w:hAnsi="Cambria"/>
          <w:lang w:val="en-ID"/>
        </w:rPr>
        <w:t>tinggi</w:t>
      </w:r>
      <w:proofErr w:type="spellEnd"/>
      <w:r w:rsidR="00D741E3">
        <w:rPr>
          <w:rFonts w:ascii="Cambria" w:hAnsi="Cambria"/>
          <w:lang w:val="en-ID"/>
        </w:rPr>
        <w:t xml:space="preserve"> </w:t>
      </w:r>
      <w:proofErr w:type="spellStart"/>
      <w:r w:rsidR="00D741E3">
        <w:rPr>
          <w:rFonts w:ascii="Cambria" w:hAnsi="Cambria"/>
          <w:lang w:val="en-ID"/>
        </w:rPr>
        <w:t>menunjukkan</w:t>
      </w:r>
      <w:proofErr w:type="spellEnd"/>
      <w:r w:rsidR="00D741E3">
        <w:rPr>
          <w:rFonts w:ascii="Cambria" w:hAnsi="Cambria"/>
          <w:lang w:val="en-ID"/>
        </w:rPr>
        <w:t xml:space="preserve"> </w:t>
      </w:r>
      <w:r w:rsidR="007346E4" w:rsidRPr="007346E4">
        <w:rPr>
          <w:rFonts w:ascii="Cambria" w:hAnsi="Cambria"/>
          <w:i/>
          <w:iCs/>
          <w:lang w:val="en-ID"/>
        </w:rPr>
        <w:t>aftertaste</w:t>
      </w:r>
      <w:r w:rsidR="00D741E3">
        <w:rPr>
          <w:rFonts w:ascii="Cambria" w:hAnsi="Cambria"/>
          <w:lang w:val="en-ID"/>
        </w:rPr>
        <w:t xml:space="preserve"> yang </w:t>
      </w:r>
      <w:proofErr w:type="spellStart"/>
      <w:r w:rsidR="00D741E3">
        <w:rPr>
          <w:rFonts w:ascii="Cambria" w:hAnsi="Cambria"/>
          <w:lang w:val="en-ID"/>
        </w:rPr>
        <w:t>semakin</w:t>
      </w:r>
      <w:proofErr w:type="spellEnd"/>
      <w:r w:rsidR="00D741E3">
        <w:rPr>
          <w:rFonts w:ascii="Cambria" w:hAnsi="Cambria"/>
          <w:lang w:val="en-ID"/>
        </w:rPr>
        <w:t xml:space="preserve"> </w:t>
      </w:r>
      <w:proofErr w:type="spellStart"/>
      <w:r w:rsidR="00D741E3">
        <w:rPr>
          <w:rFonts w:ascii="Cambria" w:hAnsi="Cambria"/>
          <w:lang w:val="en-ID"/>
        </w:rPr>
        <w:t>kuat</w:t>
      </w:r>
      <w:proofErr w:type="spellEnd"/>
      <w:r w:rsidR="00D741E3">
        <w:rPr>
          <w:rFonts w:ascii="Cambria" w:hAnsi="Cambria"/>
          <w:lang w:val="en-ID"/>
        </w:rPr>
        <w:t xml:space="preserve">, </w:t>
      </w:r>
      <w:proofErr w:type="spellStart"/>
      <w:r w:rsidR="00D741E3">
        <w:rPr>
          <w:rFonts w:ascii="Cambria" w:hAnsi="Cambria"/>
          <w:lang w:val="en-ID"/>
        </w:rPr>
        <w:t>yakni</w:t>
      </w:r>
      <w:proofErr w:type="spellEnd"/>
      <w:r w:rsidR="00D741E3">
        <w:rPr>
          <w:rFonts w:ascii="Cambria" w:hAnsi="Cambria"/>
          <w:lang w:val="en-ID"/>
        </w:rPr>
        <w:t xml:space="preserve"> :</w:t>
      </w:r>
      <w:r w:rsidR="009156D2" w:rsidRPr="00090E54">
        <w:rPr>
          <w:rFonts w:ascii="Cambria" w:hAnsi="Cambria"/>
          <w:lang w:val="en-ID"/>
        </w:rPr>
        <w:t xml:space="preserve"> 1 (sangat </w:t>
      </w:r>
      <w:proofErr w:type="spellStart"/>
      <w:r w:rsidR="009156D2" w:rsidRPr="00090E54">
        <w:rPr>
          <w:rFonts w:ascii="Cambria" w:hAnsi="Cambria"/>
          <w:lang w:val="en-ID"/>
        </w:rPr>
        <w:t>kuat</w:t>
      </w:r>
      <w:proofErr w:type="spellEnd"/>
      <w:r w:rsidR="009156D2" w:rsidRPr="00090E54">
        <w:rPr>
          <w:rFonts w:ascii="Cambria" w:hAnsi="Cambria"/>
          <w:lang w:val="en-ID"/>
        </w:rPr>
        <w:t xml:space="preserve">) </w:t>
      </w:r>
      <w:proofErr w:type="spellStart"/>
      <w:r w:rsidR="009156D2" w:rsidRPr="00090E54">
        <w:rPr>
          <w:rFonts w:ascii="Cambria" w:hAnsi="Cambria"/>
          <w:lang w:val="en-ID"/>
        </w:rPr>
        <w:t>hingga</w:t>
      </w:r>
      <w:proofErr w:type="spellEnd"/>
      <w:r w:rsidR="009156D2" w:rsidRPr="00090E54">
        <w:rPr>
          <w:rFonts w:ascii="Cambria" w:hAnsi="Cambria"/>
          <w:lang w:val="en-ID"/>
        </w:rPr>
        <w:t xml:space="preserve"> </w:t>
      </w:r>
      <w:r w:rsidR="00747D1D">
        <w:rPr>
          <w:rFonts w:ascii="Cambria" w:hAnsi="Cambria"/>
          <w:lang w:val="en-ID"/>
        </w:rPr>
        <w:t>5</w:t>
      </w:r>
      <w:r w:rsidR="009156D2" w:rsidRPr="00090E54">
        <w:rPr>
          <w:rFonts w:ascii="Cambria" w:hAnsi="Cambria"/>
          <w:lang w:val="en-ID"/>
        </w:rPr>
        <w:t xml:space="preserve"> (sangat </w:t>
      </w:r>
      <w:proofErr w:type="spellStart"/>
      <w:r w:rsidR="009156D2" w:rsidRPr="00090E54">
        <w:rPr>
          <w:rFonts w:ascii="Cambria" w:hAnsi="Cambria"/>
          <w:lang w:val="en-ID"/>
        </w:rPr>
        <w:t>lemah</w:t>
      </w:r>
      <w:proofErr w:type="spellEnd"/>
      <w:r w:rsidR="009156D2" w:rsidRPr="00090E54">
        <w:rPr>
          <w:rFonts w:ascii="Cambria" w:hAnsi="Cambria"/>
          <w:lang w:val="en-ID"/>
        </w:rPr>
        <w:t xml:space="preserve">). Formula </w:t>
      </w:r>
      <w:proofErr w:type="spellStart"/>
      <w:r w:rsidR="009156D2" w:rsidRPr="00090E54">
        <w:rPr>
          <w:rFonts w:ascii="Cambria" w:hAnsi="Cambria"/>
          <w:lang w:val="en-ID"/>
        </w:rPr>
        <w:t>biskuit</w:t>
      </w:r>
      <w:proofErr w:type="spellEnd"/>
      <w:r w:rsidR="009156D2" w:rsidRPr="00090E54">
        <w:rPr>
          <w:rFonts w:ascii="Cambria" w:hAnsi="Cambria"/>
          <w:lang w:val="en-ID"/>
        </w:rPr>
        <w:t xml:space="preserve"> </w:t>
      </w:r>
      <w:proofErr w:type="spellStart"/>
      <w:r w:rsidR="009156D2" w:rsidRPr="00090E54">
        <w:rPr>
          <w:rFonts w:ascii="Cambria" w:hAnsi="Cambria"/>
          <w:lang w:val="en-ID"/>
        </w:rPr>
        <w:t>dapat</w:t>
      </w:r>
      <w:proofErr w:type="spellEnd"/>
      <w:r w:rsidR="009156D2" w:rsidRPr="00090E54">
        <w:rPr>
          <w:rFonts w:ascii="Cambria" w:hAnsi="Cambria"/>
          <w:lang w:val="en-ID"/>
        </w:rPr>
        <w:t xml:space="preserve"> </w:t>
      </w:r>
      <w:proofErr w:type="spellStart"/>
      <w:r w:rsidR="009156D2" w:rsidRPr="00090E54">
        <w:rPr>
          <w:rFonts w:ascii="Cambria" w:hAnsi="Cambria"/>
          <w:lang w:val="en-ID"/>
        </w:rPr>
        <w:t>diterima</w:t>
      </w:r>
      <w:proofErr w:type="spellEnd"/>
      <w:r w:rsidR="009156D2" w:rsidRPr="00090E54">
        <w:rPr>
          <w:rFonts w:ascii="Cambria" w:hAnsi="Cambria"/>
          <w:lang w:val="en-ID"/>
        </w:rPr>
        <w:t xml:space="preserve"> </w:t>
      </w:r>
      <w:proofErr w:type="spellStart"/>
      <w:r w:rsidR="009156D2" w:rsidRPr="00090E54">
        <w:rPr>
          <w:rFonts w:ascii="Cambria" w:hAnsi="Cambria"/>
          <w:lang w:val="en-ID"/>
        </w:rPr>
        <w:t>jika</w:t>
      </w:r>
      <w:proofErr w:type="spellEnd"/>
      <w:r w:rsidR="009156D2" w:rsidRPr="00090E54">
        <w:rPr>
          <w:rFonts w:ascii="Cambria" w:hAnsi="Cambria"/>
          <w:lang w:val="en-ID"/>
        </w:rPr>
        <w:t xml:space="preserve"> </w:t>
      </w:r>
      <w:r w:rsidR="00D741E3">
        <w:rPr>
          <w:rFonts w:ascii="Cambria" w:hAnsi="Cambria"/>
          <w:lang w:val="en-ID"/>
        </w:rPr>
        <w:t xml:space="preserve">rata-rata </w:t>
      </w:r>
      <w:proofErr w:type="spellStart"/>
      <w:r w:rsidR="00D741E3">
        <w:rPr>
          <w:rFonts w:ascii="Cambria" w:hAnsi="Cambria"/>
          <w:lang w:val="en-ID"/>
        </w:rPr>
        <w:t>skala</w:t>
      </w:r>
      <w:proofErr w:type="spellEnd"/>
      <w:r w:rsidR="00D741E3">
        <w:rPr>
          <w:rFonts w:ascii="Cambria" w:hAnsi="Cambria"/>
          <w:lang w:val="en-ID"/>
        </w:rPr>
        <w:t xml:space="preserve"> </w:t>
      </w:r>
      <w:proofErr w:type="spellStart"/>
      <w:r w:rsidR="009156D2" w:rsidRPr="00090E54">
        <w:rPr>
          <w:rFonts w:ascii="Cambria" w:hAnsi="Cambria"/>
          <w:lang w:val="en-ID"/>
        </w:rPr>
        <w:t>nilai</w:t>
      </w:r>
      <w:proofErr w:type="spellEnd"/>
      <w:r w:rsidR="009156D2" w:rsidRPr="00090E54">
        <w:rPr>
          <w:rFonts w:ascii="Cambria" w:hAnsi="Cambria"/>
          <w:lang w:val="en-ID"/>
        </w:rPr>
        <w:t xml:space="preserve"> yang </w:t>
      </w:r>
      <w:proofErr w:type="spellStart"/>
      <w:r w:rsidR="009156D2" w:rsidRPr="00090E54">
        <w:rPr>
          <w:rFonts w:ascii="Cambria" w:hAnsi="Cambria"/>
          <w:lang w:val="en-ID"/>
        </w:rPr>
        <w:t>diberikan</w:t>
      </w:r>
      <w:proofErr w:type="spellEnd"/>
      <w:r w:rsidR="009156D2" w:rsidRPr="00090E54">
        <w:rPr>
          <w:rFonts w:ascii="Cambria" w:hAnsi="Cambria"/>
          <w:lang w:val="en-ID"/>
        </w:rPr>
        <w:t xml:space="preserve"> oleh </w:t>
      </w:r>
      <w:proofErr w:type="spellStart"/>
      <w:r w:rsidR="009156D2" w:rsidRPr="00090E54">
        <w:rPr>
          <w:rFonts w:ascii="Cambria" w:hAnsi="Cambria"/>
          <w:lang w:val="en-ID"/>
        </w:rPr>
        <w:t>panelis</w:t>
      </w:r>
      <w:proofErr w:type="spellEnd"/>
      <w:r w:rsidR="009156D2" w:rsidRPr="00090E54">
        <w:rPr>
          <w:rFonts w:ascii="Cambria" w:hAnsi="Cambria"/>
          <w:lang w:val="en-ID"/>
        </w:rPr>
        <w:t xml:space="preserve"> </w:t>
      </w:r>
      <w:proofErr w:type="spellStart"/>
      <w:r w:rsidR="00D741E3">
        <w:rPr>
          <w:rFonts w:ascii="Cambria" w:hAnsi="Cambria"/>
          <w:lang w:val="en-ID"/>
        </w:rPr>
        <w:t>adalah</w:t>
      </w:r>
      <w:proofErr w:type="spellEnd"/>
      <w:r w:rsidR="00D741E3">
        <w:rPr>
          <w:rFonts w:ascii="Cambria" w:hAnsi="Cambria"/>
          <w:lang w:val="en-ID"/>
        </w:rPr>
        <w:t xml:space="preserve"> ≥</w:t>
      </w:r>
      <w:r w:rsidR="00747D1D">
        <w:rPr>
          <w:rFonts w:ascii="Cambria" w:hAnsi="Cambria"/>
          <w:lang w:val="en-ID"/>
        </w:rPr>
        <w:t>3</w:t>
      </w:r>
      <w:r w:rsidR="009156D2" w:rsidRPr="00090E54">
        <w:rPr>
          <w:rFonts w:ascii="Cambria" w:hAnsi="Cambria"/>
          <w:lang w:val="en-ID"/>
        </w:rPr>
        <w:t xml:space="preserve"> </w:t>
      </w:r>
      <w:r w:rsidR="002D4613">
        <w:rPr>
          <w:rFonts w:ascii="Cambria" w:hAnsi="Cambria"/>
          <w:lang w:val="en-ID"/>
        </w:rPr>
        <w:fldChar w:fldCharType="begin" w:fldLock="1"/>
      </w:r>
      <w:r w:rsidR="002D4613">
        <w:rPr>
          <w:rFonts w:ascii="Cambria" w:hAnsi="Cambria"/>
          <w:lang w:val="en-ID"/>
        </w:rPr>
        <w:instrText>ADDIN CSL_CITATION {"citationItems":[{"id":"ITEM-1","itemData":{"author":[{"dropping-particle":"","family":"Setyaningsih, D.; Apriyantono, A.; Sari","given":"M.P","non-dropping-particle":"","parse-names":false,"suffix":""}],"id":"ITEM-1","issued":{"date-parts":[["2010"]]},"publisher":"IPB Press","publisher-place":"Bogor","title":"Analisis Sensori untuk Industri Pangan dan Agro","type":"book"},"uris":["http://www.mendeley.com/documents/?uuid=9e1aad25-8f16-46c9-9079-a30d1b7e7647"]}],"mendeley":{"formattedCitation":"(Setyaningsih, D.; Apriyantono, A.; Sari, 2010)","plainTextFormattedCitation":"(Setyaningsih, D.; Apriyantono, A.; Sari, 2010)","previouslyFormattedCitation":"(Setyaningsih, D.; Apriyantono, A.; Sari, 2010)"},"properties":{"noteIndex":0},"schema":"https://github.com/citation-style-language/schema/raw/master/csl-citation.json"}</w:instrText>
      </w:r>
      <w:r w:rsidR="002D4613">
        <w:rPr>
          <w:rFonts w:ascii="Cambria" w:hAnsi="Cambria"/>
          <w:lang w:val="en-ID"/>
        </w:rPr>
        <w:fldChar w:fldCharType="separate"/>
      </w:r>
      <w:r w:rsidR="002D4613" w:rsidRPr="002D4613">
        <w:rPr>
          <w:rFonts w:ascii="Cambria" w:hAnsi="Cambria"/>
          <w:noProof/>
          <w:lang w:val="en-ID"/>
        </w:rPr>
        <w:t>(Setyaningsih, D.; Apriyantono, A.; Sari, 2010)</w:t>
      </w:r>
      <w:r w:rsidR="002D4613">
        <w:rPr>
          <w:rFonts w:ascii="Cambria" w:hAnsi="Cambria"/>
          <w:lang w:val="en-ID"/>
        </w:rPr>
        <w:fldChar w:fldCharType="end"/>
      </w:r>
      <w:r w:rsidR="002D4613">
        <w:rPr>
          <w:rFonts w:ascii="Cambria" w:hAnsi="Cambria"/>
          <w:lang w:val="en-ID"/>
        </w:rPr>
        <w:t>.</w:t>
      </w:r>
    </w:p>
    <w:p w14:paraId="7425EB07" w14:textId="77777777" w:rsidR="005259FA" w:rsidRPr="00D95178" w:rsidRDefault="005259FA" w:rsidP="00D95178">
      <w:pPr>
        <w:autoSpaceDE w:val="0"/>
        <w:autoSpaceDN w:val="0"/>
        <w:adjustRightInd w:val="0"/>
        <w:spacing w:after="0" w:line="240" w:lineRule="auto"/>
        <w:ind w:firstLine="720"/>
        <w:jc w:val="both"/>
        <w:rPr>
          <w:rFonts w:ascii="Cambria" w:hAnsi="Cambria"/>
          <w:lang w:val="en-ID"/>
        </w:rPr>
      </w:pPr>
    </w:p>
    <w:p w14:paraId="2216240B" w14:textId="0036B1AB" w:rsidR="00B574FD" w:rsidRPr="00090E54" w:rsidRDefault="00B574FD" w:rsidP="003F57CC">
      <w:pPr>
        <w:spacing w:after="0" w:line="240" w:lineRule="auto"/>
        <w:jc w:val="both"/>
        <w:rPr>
          <w:rFonts w:ascii="Cambria" w:hAnsi="Cambria"/>
          <w:b/>
          <w:bCs/>
        </w:rPr>
      </w:pPr>
      <w:proofErr w:type="spellStart"/>
      <w:r w:rsidRPr="00090E54">
        <w:rPr>
          <w:rFonts w:ascii="Cambria" w:hAnsi="Cambria"/>
          <w:b/>
          <w:bCs/>
        </w:rPr>
        <w:t>Analisis</w:t>
      </w:r>
      <w:proofErr w:type="spellEnd"/>
      <w:r w:rsidRPr="00090E54">
        <w:rPr>
          <w:rFonts w:ascii="Cambria" w:hAnsi="Cambria"/>
          <w:b/>
          <w:bCs/>
        </w:rPr>
        <w:t xml:space="preserve"> </w:t>
      </w:r>
      <w:proofErr w:type="spellStart"/>
      <w:r w:rsidRPr="00090E54">
        <w:rPr>
          <w:rFonts w:ascii="Cambria" w:hAnsi="Cambria"/>
          <w:b/>
          <w:bCs/>
        </w:rPr>
        <w:t>Biskuit</w:t>
      </w:r>
      <w:proofErr w:type="spellEnd"/>
      <w:r w:rsidRPr="00090E54">
        <w:rPr>
          <w:rFonts w:ascii="Cambria" w:hAnsi="Cambria"/>
          <w:b/>
          <w:bCs/>
        </w:rPr>
        <w:t xml:space="preserve"> </w:t>
      </w:r>
      <w:proofErr w:type="spellStart"/>
      <w:r w:rsidR="00D824F8">
        <w:rPr>
          <w:rFonts w:ascii="Cambria" w:hAnsi="Cambria"/>
          <w:b/>
          <w:bCs/>
        </w:rPr>
        <w:t>Rempah</w:t>
      </w:r>
      <w:proofErr w:type="spellEnd"/>
      <w:r w:rsidR="00D824F8">
        <w:rPr>
          <w:rFonts w:ascii="Cambria" w:hAnsi="Cambria"/>
          <w:b/>
          <w:bCs/>
        </w:rPr>
        <w:t xml:space="preserve"> </w:t>
      </w:r>
      <w:proofErr w:type="spellStart"/>
      <w:r w:rsidR="00D824F8">
        <w:rPr>
          <w:rFonts w:ascii="Cambria" w:hAnsi="Cambria"/>
          <w:b/>
          <w:bCs/>
        </w:rPr>
        <w:t>T</w:t>
      </w:r>
      <w:r w:rsidRPr="00090E54">
        <w:rPr>
          <w:rFonts w:ascii="Cambria" w:hAnsi="Cambria"/>
          <w:b/>
          <w:bCs/>
        </w:rPr>
        <w:t>erpilih</w:t>
      </w:r>
      <w:proofErr w:type="spellEnd"/>
      <w:r w:rsidRPr="00090E54">
        <w:rPr>
          <w:rFonts w:ascii="Cambria" w:hAnsi="Cambria"/>
          <w:b/>
          <w:bCs/>
        </w:rPr>
        <w:t xml:space="preserve"> </w:t>
      </w:r>
    </w:p>
    <w:p w14:paraId="307A3ABC" w14:textId="498DE317" w:rsidR="00B574FD" w:rsidRPr="00513EA1" w:rsidRDefault="00D741E3" w:rsidP="00513EA1">
      <w:pPr>
        <w:autoSpaceDE w:val="0"/>
        <w:autoSpaceDN w:val="0"/>
        <w:adjustRightInd w:val="0"/>
        <w:spacing w:after="0" w:line="240" w:lineRule="auto"/>
        <w:ind w:firstLine="720"/>
        <w:jc w:val="both"/>
        <w:rPr>
          <w:rFonts w:ascii="Cambria" w:hAnsi="Cambria"/>
          <w:lang w:val="en-ID"/>
        </w:rPr>
      </w:pPr>
      <w:r>
        <w:rPr>
          <w:rFonts w:ascii="Cambria" w:hAnsi="Cambria"/>
        </w:rPr>
        <w:t xml:space="preserve">Formula </w:t>
      </w:r>
      <w:proofErr w:type="spellStart"/>
      <w:r w:rsidR="0063512D">
        <w:rPr>
          <w:rFonts w:ascii="Cambria" w:hAnsi="Cambria"/>
        </w:rPr>
        <w:t>biskuit</w:t>
      </w:r>
      <w:proofErr w:type="spellEnd"/>
      <w:r w:rsidR="00B574FD" w:rsidRPr="00090E54">
        <w:rPr>
          <w:rFonts w:ascii="Cambria" w:hAnsi="Cambria"/>
        </w:rPr>
        <w:t xml:space="preserve"> yang </w:t>
      </w:r>
      <w:proofErr w:type="spellStart"/>
      <w:r w:rsidR="00B574FD" w:rsidRPr="00090E54">
        <w:rPr>
          <w:rFonts w:ascii="Cambria" w:hAnsi="Cambria"/>
        </w:rPr>
        <w:t>terpilih</w:t>
      </w:r>
      <w:proofErr w:type="spellEnd"/>
      <w:r w:rsidR="00B574FD" w:rsidRPr="00090E54">
        <w:rPr>
          <w:rFonts w:ascii="Cambria" w:hAnsi="Cambria"/>
        </w:rPr>
        <w:t xml:space="preserve"> </w:t>
      </w:r>
      <w:proofErr w:type="spellStart"/>
      <w:r>
        <w:rPr>
          <w:rFonts w:ascii="Cambria" w:hAnsi="Cambria"/>
        </w:rPr>
        <w:t>berdasarkan</w:t>
      </w:r>
      <w:proofErr w:type="spellEnd"/>
      <w:r>
        <w:rPr>
          <w:rFonts w:ascii="Cambria" w:hAnsi="Cambria"/>
        </w:rPr>
        <w:t xml:space="preserve"> </w:t>
      </w:r>
      <w:proofErr w:type="spellStart"/>
      <w:r>
        <w:rPr>
          <w:rFonts w:ascii="Cambria" w:hAnsi="Cambria"/>
        </w:rPr>
        <w:t>hasil</w:t>
      </w:r>
      <w:proofErr w:type="spellEnd"/>
      <w:r>
        <w:rPr>
          <w:rFonts w:ascii="Cambria" w:hAnsi="Cambria"/>
        </w:rPr>
        <w:t xml:space="preserve"> uji </w:t>
      </w:r>
      <w:proofErr w:type="spellStart"/>
      <w:r>
        <w:rPr>
          <w:rFonts w:ascii="Cambria" w:hAnsi="Cambria"/>
        </w:rPr>
        <w:t>sensori</w:t>
      </w:r>
      <w:proofErr w:type="spellEnd"/>
      <w:r w:rsidR="00B574FD" w:rsidRPr="00090E54">
        <w:rPr>
          <w:rFonts w:ascii="Cambria" w:hAnsi="Cambria"/>
        </w:rPr>
        <w:t xml:space="preserve"> </w:t>
      </w:r>
      <w:proofErr w:type="spellStart"/>
      <w:r w:rsidR="00B574FD" w:rsidRPr="00090E54">
        <w:rPr>
          <w:rFonts w:ascii="Cambria" w:hAnsi="Cambria"/>
        </w:rPr>
        <w:t>selanjutnya</w:t>
      </w:r>
      <w:proofErr w:type="spellEnd"/>
      <w:r w:rsidR="00B574FD" w:rsidRPr="00090E54">
        <w:rPr>
          <w:rFonts w:ascii="Cambria" w:hAnsi="Cambria"/>
        </w:rPr>
        <w:t xml:space="preserve"> </w:t>
      </w:r>
      <w:proofErr w:type="spellStart"/>
      <w:r w:rsidR="00B574FD" w:rsidRPr="00090E54">
        <w:rPr>
          <w:rFonts w:ascii="Cambria" w:hAnsi="Cambria"/>
        </w:rPr>
        <w:lastRenderedPageBreak/>
        <w:t>dilakukan</w:t>
      </w:r>
      <w:proofErr w:type="spellEnd"/>
      <w:r w:rsidR="00B574FD" w:rsidRPr="00090E54">
        <w:rPr>
          <w:rFonts w:ascii="Cambria" w:hAnsi="Cambria"/>
        </w:rPr>
        <w:t xml:space="preserve"> </w:t>
      </w:r>
      <w:proofErr w:type="spellStart"/>
      <w:r w:rsidR="00B574FD" w:rsidRPr="00090E54">
        <w:rPr>
          <w:rFonts w:ascii="Cambria" w:hAnsi="Cambria"/>
          <w:lang w:val="en-ID"/>
        </w:rPr>
        <w:t>a</w:t>
      </w:r>
      <w:r w:rsidR="009156D2" w:rsidRPr="00090E54">
        <w:rPr>
          <w:rFonts w:ascii="Cambria" w:hAnsi="Cambria"/>
          <w:lang w:val="en-ID"/>
        </w:rPr>
        <w:t>nalisis</w:t>
      </w:r>
      <w:proofErr w:type="spellEnd"/>
      <w:r w:rsidR="009156D2" w:rsidRPr="00090E54">
        <w:rPr>
          <w:rFonts w:ascii="Cambria" w:hAnsi="Cambria"/>
          <w:lang w:val="en-ID"/>
        </w:rPr>
        <w:t xml:space="preserve"> </w:t>
      </w:r>
      <w:proofErr w:type="spellStart"/>
      <w:r w:rsidR="009156D2" w:rsidRPr="00090E54">
        <w:rPr>
          <w:rFonts w:ascii="Cambria" w:hAnsi="Cambria"/>
          <w:lang w:val="en-ID"/>
        </w:rPr>
        <w:t>kandungan</w:t>
      </w:r>
      <w:proofErr w:type="spellEnd"/>
      <w:r w:rsidR="009156D2" w:rsidRPr="00090E54">
        <w:rPr>
          <w:rFonts w:ascii="Cambria" w:hAnsi="Cambria"/>
          <w:lang w:val="en-ID"/>
        </w:rPr>
        <w:t xml:space="preserve"> </w:t>
      </w:r>
      <w:proofErr w:type="spellStart"/>
      <w:r w:rsidR="009156D2" w:rsidRPr="00090E54">
        <w:rPr>
          <w:rFonts w:ascii="Cambria" w:hAnsi="Cambria"/>
          <w:lang w:val="en-ID"/>
        </w:rPr>
        <w:t>gizi</w:t>
      </w:r>
      <w:proofErr w:type="spellEnd"/>
      <w:r w:rsidR="00513EA1">
        <w:rPr>
          <w:rFonts w:ascii="Cambria" w:hAnsi="Cambria"/>
          <w:lang w:val="en-ID"/>
        </w:rPr>
        <w:t xml:space="preserve"> </w:t>
      </w:r>
      <w:r w:rsidR="002D4613">
        <w:rPr>
          <w:rFonts w:ascii="Cambria" w:hAnsi="Cambria"/>
          <w:lang w:val="en-ID"/>
        </w:rPr>
        <w:fldChar w:fldCharType="begin" w:fldLock="1"/>
      </w:r>
      <w:r w:rsidR="002D4613">
        <w:rPr>
          <w:rFonts w:ascii="Cambria" w:hAnsi="Cambria"/>
          <w:lang w:val="en-ID"/>
        </w:rPr>
        <w:instrText>ADDIN CSL_CITATION {"citationItems":[{"id":"ITEM-1","itemData":{"abstract":"Note: The following is not intended to be used as a comprehensive training manual. Analytical procedures are written based on the assumption that they will be performed by technicians who are formally trained in at least the basic principles of chemical analysis and in the use of the subject technology. {Applicable for the determination of heavy metals [arsenic (As), CAS No. 7440-38-2; cadmium (Cd), CAS No. 7440-43-9; lead (Pb), CAS No. 7439-92-1; and mercury (Hg), CAS No. 7439-97-6] at trace levels in food and beverage samples, including solid chocolate, fruit juice, fish, infant formula, and rice, using microwave digestion and inductively coupled plasma–mass spectrometry (ICP-MS).} Caution: Nitric acid and hydrochloric acid are corrosive. When working with these acids, wear adequate protective gear, including eye protection, gloves with the appropriate resistance, and a laboratory coat. Use an adequate fume hood for all acids. Hydrogen peroxide is a strong oxidizer and can react violently with organic material to give off oxygen gas and heat. Adequate protective gear should be worn. Many of the chemicals have toxicities that are not well established and must be handled with care. For all known chemicals used, consult the Material Safety Data Sheet (MSDS) in advance. The inductively coupled plasma–mass spectrometer emits UV light when the plasma is on. UV resistant goggles should be worn if working near the plasma. The instrument generates high levels of radio frequency (RF) energy and is very hot when the plasma is on. In the case of an instrument failure, be aware of these potential dangers. Safely store interference reduction technology (IRT) gases, such as oxygen, in a closed, ventilated cabinet. Use adequate caution with pressurized gases. Prior training or experience is necessary to change any gas cylinders. Oxygen gas can cause many materials to ignite easily. Following microwave digestion, samples are hot to the touch. Allow the samples to cool to room temperature before opening the digestion vessels to avoid unexpected depressurization and potential release of toxic fumes. A. Principle Food samples are thoroughly homogenized and then prepared by microwave digestion and the addition of dilute solutions of gold (Au) and lutetium (Lu). The Au is used to stabilize the Hg in the preparation, and the Lu is used to assess the potential loss of analyte during the microwave digestion process. A prepared, diluted, aqueous sample digestate is pumped thro…","author":[{"dropping-particle":"","family":"AOAC","given":"","non-dropping-particle":"","parse-names":false,"suffix":""}],"container-title":"Journal of AOAC International","id":"ITEM-1","issued":{"date-parts":[["2015"]]},"page":"1-15","title":"AOAC Official Method 2015.01 Heavy Metals in Food Inductively Coupled Plasma–Mass Spectrometry First Action 2015","type":"article-journal"},"uris":["http://www.mendeley.com/documents/?uuid=3d188c96-5766-4771-a2b7-a47e5ef4717a"]}],"mendeley":{"formattedCitation":"(AOAC, 2015)","plainTextFormattedCitation":"(AOAC, 2015)","previouslyFormattedCitation":"(AOAC, 2015)"},"properties":{"noteIndex":0},"schema":"https://github.com/citation-style-language/schema/raw/master/csl-citation.json"}</w:instrText>
      </w:r>
      <w:r w:rsidR="002D4613">
        <w:rPr>
          <w:rFonts w:ascii="Cambria" w:hAnsi="Cambria"/>
          <w:lang w:val="en-ID"/>
        </w:rPr>
        <w:fldChar w:fldCharType="separate"/>
      </w:r>
      <w:r w:rsidR="002D4613" w:rsidRPr="002D4613">
        <w:rPr>
          <w:rFonts w:ascii="Cambria" w:hAnsi="Cambria"/>
          <w:noProof/>
          <w:lang w:val="en-ID"/>
        </w:rPr>
        <w:t>(AOAC, 2015)</w:t>
      </w:r>
      <w:r w:rsidR="002D4613">
        <w:rPr>
          <w:rFonts w:ascii="Cambria" w:hAnsi="Cambria"/>
          <w:lang w:val="en-ID"/>
        </w:rPr>
        <w:fldChar w:fldCharType="end"/>
      </w:r>
      <w:r>
        <w:rPr>
          <w:rFonts w:ascii="Cambria" w:hAnsi="Cambria"/>
          <w:lang w:val="en-ID"/>
        </w:rPr>
        <w:t xml:space="preserve">. </w:t>
      </w:r>
      <w:proofErr w:type="spellStart"/>
      <w:r>
        <w:rPr>
          <w:rFonts w:ascii="Cambria" w:hAnsi="Cambria"/>
          <w:lang w:val="en-ID"/>
        </w:rPr>
        <w:t>Analisis</w:t>
      </w:r>
      <w:proofErr w:type="spellEnd"/>
      <w:r>
        <w:rPr>
          <w:rFonts w:ascii="Cambria" w:hAnsi="Cambria"/>
          <w:lang w:val="en-ID"/>
        </w:rPr>
        <w:t xml:space="preserve"> yang </w:t>
      </w:r>
      <w:proofErr w:type="spellStart"/>
      <w:r>
        <w:rPr>
          <w:rFonts w:ascii="Cambria" w:hAnsi="Cambria"/>
          <w:lang w:val="en-ID"/>
        </w:rPr>
        <w:t>dilakukan</w:t>
      </w:r>
      <w:proofErr w:type="spellEnd"/>
      <w:r w:rsidR="009156D2" w:rsidRPr="00090E54">
        <w:rPr>
          <w:rFonts w:ascii="Cambria" w:hAnsi="Cambria"/>
          <w:lang w:val="en-ID"/>
        </w:rPr>
        <w:t xml:space="preserve"> </w:t>
      </w:r>
      <w:proofErr w:type="spellStart"/>
      <w:r w:rsidR="009156D2" w:rsidRPr="00090E54">
        <w:rPr>
          <w:rFonts w:ascii="Cambria" w:hAnsi="Cambria"/>
          <w:lang w:val="en-ID"/>
        </w:rPr>
        <w:t>meliputi</w:t>
      </w:r>
      <w:proofErr w:type="spellEnd"/>
      <w:r w:rsidR="009156D2" w:rsidRPr="00090E54">
        <w:rPr>
          <w:rFonts w:ascii="Cambria" w:hAnsi="Cambria"/>
          <w:lang w:val="en-ID"/>
        </w:rPr>
        <w:t xml:space="preserve"> </w:t>
      </w:r>
      <w:proofErr w:type="spellStart"/>
      <w:r w:rsidR="001509CD">
        <w:rPr>
          <w:rFonts w:ascii="Cambria" w:hAnsi="Cambria"/>
          <w:lang w:val="en-ID"/>
        </w:rPr>
        <w:t>analisis</w:t>
      </w:r>
      <w:proofErr w:type="spellEnd"/>
      <w:r w:rsidR="001509CD">
        <w:rPr>
          <w:rFonts w:ascii="Cambria" w:hAnsi="Cambria"/>
          <w:lang w:val="en-ID"/>
        </w:rPr>
        <w:t xml:space="preserve"> </w:t>
      </w:r>
      <w:proofErr w:type="spellStart"/>
      <w:r w:rsidR="009156D2" w:rsidRPr="00090E54">
        <w:rPr>
          <w:rFonts w:ascii="Cambria" w:hAnsi="Cambria"/>
          <w:lang w:val="en-ID"/>
        </w:rPr>
        <w:t>kadar</w:t>
      </w:r>
      <w:proofErr w:type="spellEnd"/>
      <w:r w:rsidR="009156D2" w:rsidRPr="00090E54">
        <w:rPr>
          <w:rFonts w:ascii="Cambria" w:hAnsi="Cambria"/>
          <w:lang w:val="en-ID"/>
        </w:rPr>
        <w:t xml:space="preserve"> air, </w:t>
      </w:r>
      <w:proofErr w:type="spellStart"/>
      <w:r w:rsidR="009156D2" w:rsidRPr="00090E54">
        <w:rPr>
          <w:rFonts w:ascii="Cambria" w:hAnsi="Cambria"/>
          <w:lang w:val="en-ID"/>
        </w:rPr>
        <w:t>kadar</w:t>
      </w:r>
      <w:proofErr w:type="spellEnd"/>
      <w:r w:rsidR="009156D2" w:rsidRPr="00090E54">
        <w:rPr>
          <w:rFonts w:ascii="Cambria" w:hAnsi="Cambria"/>
          <w:lang w:val="en-ID"/>
        </w:rPr>
        <w:t xml:space="preserve"> </w:t>
      </w:r>
      <w:proofErr w:type="spellStart"/>
      <w:r w:rsidR="009156D2" w:rsidRPr="00090E54">
        <w:rPr>
          <w:rFonts w:ascii="Cambria" w:hAnsi="Cambria"/>
          <w:lang w:val="en-ID"/>
        </w:rPr>
        <w:t>abu</w:t>
      </w:r>
      <w:proofErr w:type="spellEnd"/>
      <w:r w:rsidR="009156D2" w:rsidRPr="00090E54">
        <w:rPr>
          <w:rFonts w:ascii="Cambria" w:hAnsi="Cambria"/>
          <w:lang w:val="en-ID"/>
        </w:rPr>
        <w:t xml:space="preserve">, </w:t>
      </w:r>
      <w:proofErr w:type="spellStart"/>
      <w:r w:rsidR="009156D2" w:rsidRPr="00090E54">
        <w:rPr>
          <w:rFonts w:ascii="Cambria" w:hAnsi="Cambria"/>
          <w:lang w:val="en-ID"/>
        </w:rPr>
        <w:t>kadar</w:t>
      </w:r>
      <w:proofErr w:type="spellEnd"/>
      <w:r w:rsidR="009156D2" w:rsidRPr="00090E54">
        <w:rPr>
          <w:rFonts w:ascii="Cambria" w:hAnsi="Cambria"/>
          <w:lang w:val="en-ID"/>
        </w:rPr>
        <w:t xml:space="preserve"> protein </w:t>
      </w:r>
      <w:proofErr w:type="spellStart"/>
      <w:r w:rsidR="001509CD">
        <w:rPr>
          <w:rFonts w:ascii="Cambria" w:hAnsi="Cambria"/>
          <w:lang w:val="en-ID"/>
        </w:rPr>
        <w:t>dengan</w:t>
      </w:r>
      <w:proofErr w:type="spellEnd"/>
      <w:r w:rsidR="001509CD">
        <w:rPr>
          <w:rFonts w:ascii="Cambria" w:hAnsi="Cambria"/>
          <w:lang w:val="en-ID"/>
        </w:rPr>
        <w:t xml:space="preserve"> </w:t>
      </w:r>
      <w:proofErr w:type="spellStart"/>
      <w:r w:rsidR="009156D2" w:rsidRPr="00090E54">
        <w:rPr>
          <w:rFonts w:ascii="Cambria" w:hAnsi="Cambria"/>
          <w:lang w:val="en-ID"/>
        </w:rPr>
        <w:t>metode</w:t>
      </w:r>
      <w:proofErr w:type="spellEnd"/>
      <w:r w:rsidR="009156D2" w:rsidRPr="00090E54">
        <w:rPr>
          <w:rFonts w:ascii="Cambria" w:hAnsi="Cambria"/>
          <w:lang w:val="en-ID"/>
        </w:rPr>
        <w:t xml:space="preserve"> </w:t>
      </w:r>
      <w:proofErr w:type="spellStart"/>
      <w:r w:rsidR="009156D2" w:rsidRPr="00090E54">
        <w:rPr>
          <w:rFonts w:ascii="Cambria" w:hAnsi="Cambria"/>
          <w:lang w:val="en-ID"/>
        </w:rPr>
        <w:t>mikro</w:t>
      </w:r>
      <w:proofErr w:type="spellEnd"/>
      <w:r w:rsidR="009156D2" w:rsidRPr="00090E54">
        <w:rPr>
          <w:rFonts w:ascii="Cambria" w:hAnsi="Cambria"/>
          <w:lang w:val="en-ID"/>
        </w:rPr>
        <w:t xml:space="preserve"> </w:t>
      </w:r>
      <w:proofErr w:type="spellStart"/>
      <w:r w:rsidR="009156D2" w:rsidRPr="00090E54">
        <w:rPr>
          <w:rFonts w:ascii="Cambria" w:hAnsi="Cambria"/>
          <w:lang w:val="en-ID"/>
        </w:rPr>
        <w:t>kjeldahl</w:t>
      </w:r>
      <w:proofErr w:type="spellEnd"/>
      <w:r w:rsidR="009156D2" w:rsidRPr="00090E54">
        <w:rPr>
          <w:rFonts w:ascii="Cambria" w:hAnsi="Cambria"/>
          <w:lang w:val="en-ID"/>
        </w:rPr>
        <w:t xml:space="preserve">, </w:t>
      </w:r>
      <w:proofErr w:type="spellStart"/>
      <w:r w:rsidR="009156D2" w:rsidRPr="00090E54">
        <w:rPr>
          <w:rFonts w:ascii="Cambria" w:hAnsi="Cambria"/>
          <w:lang w:val="en-ID"/>
        </w:rPr>
        <w:t>kadar</w:t>
      </w:r>
      <w:proofErr w:type="spellEnd"/>
      <w:r w:rsidR="009156D2" w:rsidRPr="00090E54">
        <w:rPr>
          <w:rFonts w:ascii="Cambria" w:hAnsi="Cambria"/>
          <w:lang w:val="en-ID"/>
        </w:rPr>
        <w:t xml:space="preserve"> lemak</w:t>
      </w:r>
      <w:r w:rsidR="001509CD">
        <w:rPr>
          <w:rFonts w:ascii="Cambria" w:hAnsi="Cambria"/>
          <w:lang w:val="en-ID"/>
        </w:rPr>
        <w:t xml:space="preserve"> </w:t>
      </w:r>
      <w:proofErr w:type="spellStart"/>
      <w:r w:rsidR="001509CD">
        <w:rPr>
          <w:rFonts w:ascii="Cambria" w:hAnsi="Cambria"/>
          <w:lang w:val="en-ID"/>
        </w:rPr>
        <w:t>dengan</w:t>
      </w:r>
      <w:proofErr w:type="spellEnd"/>
      <w:r w:rsidR="009156D2" w:rsidRPr="00090E54">
        <w:rPr>
          <w:rFonts w:ascii="Cambria" w:hAnsi="Cambria"/>
          <w:lang w:val="en-ID"/>
        </w:rPr>
        <w:t xml:space="preserve"> </w:t>
      </w:r>
      <w:proofErr w:type="spellStart"/>
      <w:r w:rsidR="009156D2" w:rsidRPr="00090E54">
        <w:rPr>
          <w:rFonts w:ascii="Cambria" w:hAnsi="Cambria"/>
          <w:lang w:val="en-ID"/>
        </w:rPr>
        <w:t>metode</w:t>
      </w:r>
      <w:proofErr w:type="spellEnd"/>
      <w:r w:rsidR="009156D2" w:rsidRPr="00090E54">
        <w:rPr>
          <w:rFonts w:ascii="Cambria" w:hAnsi="Cambria"/>
          <w:lang w:val="en-ID"/>
        </w:rPr>
        <w:t xml:space="preserve"> </w:t>
      </w:r>
      <w:proofErr w:type="spellStart"/>
      <w:r w:rsidR="009156D2" w:rsidRPr="00090E54">
        <w:rPr>
          <w:rFonts w:ascii="Cambria" w:hAnsi="Cambria"/>
          <w:lang w:val="en-ID"/>
        </w:rPr>
        <w:t>soxhlet</w:t>
      </w:r>
      <w:proofErr w:type="spellEnd"/>
      <w:r w:rsidR="009156D2" w:rsidRPr="00090E54">
        <w:rPr>
          <w:rFonts w:ascii="Cambria" w:hAnsi="Cambria"/>
          <w:lang w:val="en-ID"/>
        </w:rPr>
        <w:t xml:space="preserve">, </w:t>
      </w:r>
      <w:r w:rsidR="00513EA1">
        <w:rPr>
          <w:rFonts w:ascii="Cambria" w:hAnsi="Cambria"/>
          <w:lang w:val="en-ID"/>
        </w:rPr>
        <w:t xml:space="preserve">dan </w:t>
      </w:r>
      <w:proofErr w:type="spellStart"/>
      <w:r w:rsidR="009156D2" w:rsidRPr="00090E54">
        <w:rPr>
          <w:rFonts w:ascii="Cambria" w:hAnsi="Cambria"/>
          <w:lang w:val="en-ID"/>
        </w:rPr>
        <w:t>kadar</w:t>
      </w:r>
      <w:proofErr w:type="spellEnd"/>
      <w:r w:rsidR="009156D2" w:rsidRPr="00090E54">
        <w:rPr>
          <w:rFonts w:ascii="Cambria" w:hAnsi="Cambria"/>
          <w:lang w:val="en-ID"/>
        </w:rPr>
        <w:t xml:space="preserve"> </w:t>
      </w:r>
      <w:proofErr w:type="spellStart"/>
      <w:r w:rsidR="009156D2" w:rsidRPr="00090E54">
        <w:rPr>
          <w:rFonts w:ascii="Cambria" w:hAnsi="Cambria"/>
          <w:lang w:val="en-ID"/>
        </w:rPr>
        <w:t>serat</w:t>
      </w:r>
      <w:proofErr w:type="spellEnd"/>
      <w:r w:rsidR="009156D2" w:rsidRPr="00090E54">
        <w:rPr>
          <w:rFonts w:ascii="Cambria" w:hAnsi="Cambria"/>
          <w:lang w:val="en-ID"/>
        </w:rPr>
        <w:t xml:space="preserve"> </w:t>
      </w:r>
      <w:proofErr w:type="spellStart"/>
      <w:r w:rsidR="009156D2" w:rsidRPr="00090E54">
        <w:rPr>
          <w:rFonts w:ascii="Cambria" w:hAnsi="Cambria"/>
          <w:lang w:val="en-ID"/>
        </w:rPr>
        <w:t>k</w:t>
      </w:r>
      <w:r w:rsidR="00513EA1">
        <w:rPr>
          <w:rFonts w:ascii="Cambria" w:hAnsi="Cambria"/>
          <w:lang w:val="en-ID"/>
        </w:rPr>
        <w:t>asar</w:t>
      </w:r>
      <w:proofErr w:type="spellEnd"/>
      <w:r w:rsidR="00513EA1">
        <w:rPr>
          <w:rFonts w:ascii="Cambria" w:hAnsi="Cambria"/>
          <w:lang w:val="en-ID"/>
        </w:rPr>
        <w:t xml:space="preserve">. Adapun </w:t>
      </w:r>
      <w:proofErr w:type="spellStart"/>
      <w:r w:rsidR="00513EA1">
        <w:rPr>
          <w:rFonts w:ascii="Cambria" w:hAnsi="Cambria"/>
          <w:lang w:val="en-ID"/>
        </w:rPr>
        <w:t>analisis</w:t>
      </w:r>
      <w:proofErr w:type="spellEnd"/>
      <w:r w:rsidR="009156D2" w:rsidRPr="00090E54">
        <w:rPr>
          <w:rFonts w:ascii="Cambria" w:hAnsi="Cambria"/>
          <w:lang w:val="en-ID"/>
        </w:rPr>
        <w:t xml:space="preserve"> </w:t>
      </w:r>
      <w:proofErr w:type="spellStart"/>
      <w:r w:rsidR="009156D2" w:rsidRPr="00090E54">
        <w:rPr>
          <w:rFonts w:ascii="Cambria" w:hAnsi="Cambria"/>
          <w:lang w:val="en-ID"/>
        </w:rPr>
        <w:t>kadar</w:t>
      </w:r>
      <w:proofErr w:type="spellEnd"/>
      <w:r w:rsidR="009156D2" w:rsidRPr="00090E54">
        <w:rPr>
          <w:rFonts w:ascii="Cambria" w:hAnsi="Cambria"/>
          <w:lang w:val="en-ID"/>
        </w:rPr>
        <w:t xml:space="preserve"> </w:t>
      </w:r>
      <w:proofErr w:type="spellStart"/>
      <w:r w:rsidR="009156D2" w:rsidRPr="00090E54">
        <w:rPr>
          <w:rFonts w:ascii="Cambria" w:hAnsi="Cambria"/>
          <w:lang w:val="en-ID"/>
        </w:rPr>
        <w:t>karbohidrat</w:t>
      </w:r>
      <w:proofErr w:type="spellEnd"/>
      <w:r w:rsidR="009156D2" w:rsidRPr="00090E54">
        <w:rPr>
          <w:rFonts w:ascii="Cambria" w:hAnsi="Cambria"/>
          <w:lang w:val="en-ID"/>
        </w:rPr>
        <w:t xml:space="preserve"> </w:t>
      </w:r>
      <w:proofErr w:type="spellStart"/>
      <w:r w:rsidR="009156D2" w:rsidRPr="00090E54">
        <w:rPr>
          <w:rFonts w:ascii="Cambria" w:hAnsi="Cambria"/>
          <w:lang w:val="en-ID"/>
        </w:rPr>
        <w:t>menggunakan</w:t>
      </w:r>
      <w:proofErr w:type="spellEnd"/>
      <w:r w:rsidR="009156D2" w:rsidRPr="00090E54">
        <w:rPr>
          <w:rFonts w:ascii="Cambria" w:hAnsi="Cambria"/>
          <w:lang w:val="en-ID"/>
        </w:rPr>
        <w:t xml:space="preserve"> </w:t>
      </w:r>
      <w:proofErr w:type="spellStart"/>
      <w:r w:rsidR="009156D2" w:rsidRPr="00090E54">
        <w:rPr>
          <w:rFonts w:ascii="Cambria" w:hAnsi="Cambria"/>
          <w:lang w:val="en-ID"/>
        </w:rPr>
        <w:t>metode</w:t>
      </w:r>
      <w:proofErr w:type="spellEnd"/>
      <w:r w:rsidR="009156D2" w:rsidRPr="00090E54">
        <w:rPr>
          <w:rFonts w:ascii="Cambria" w:hAnsi="Cambria"/>
          <w:lang w:val="en-ID"/>
        </w:rPr>
        <w:t xml:space="preserve"> </w:t>
      </w:r>
      <w:r w:rsidR="009156D2" w:rsidRPr="00090E54">
        <w:rPr>
          <w:rFonts w:ascii="Cambria" w:hAnsi="Cambria"/>
          <w:i/>
          <w:iCs/>
          <w:lang w:val="en-ID"/>
        </w:rPr>
        <w:t>by difference</w:t>
      </w:r>
      <w:r w:rsidR="009156D2" w:rsidRPr="00090E54">
        <w:rPr>
          <w:rFonts w:ascii="Cambria" w:hAnsi="Cambria"/>
          <w:lang w:val="en-ID"/>
        </w:rPr>
        <w:t>.</w:t>
      </w:r>
      <w:r w:rsidR="00513EA1">
        <w:rPr>
          <w:rFonts w:ascii="Cambria" w:hAnsi="Cambria"/>
          <w:lang w:val="en-ID"/>
        </w:rPr>
        <w:t xml:space="preserve"> </w:t>
      </w:r>
      <w:r w:rsidR="001509CD">
        <w:rPr>
          <w:rFonts w:ascii="Cambria" w:hAnsi="Cambria"/>
          <w:lang w:val="en-ID"/>
        </w:rPr>
        <w:t xml:space="preserve">Selain </w:t>
      </w:r>
      <w:proofErr w:type="spellStart"/>
      <w:r w:rsidR="001509CD">
        <w:rPr>
          <w:rFonts w:ascii="Cambria" w:hAnsi="Cambria"/>
          <w:lang w:val="en-ID"/>
        </w:rPr>
        <w:t>analisis</w:t>
      </w:r>
      <w:proofErr w:type="spellEnd"/>
      <w:r w:rsidR="001509CD">
        <w:rPr>
          <w:rFonts w:ascii="Cambria" w:hAnsi="Cambria"/>
          <w:lang w:val="en-ID"/>
        </w:rPr>
        <w:t xml:space="preserve"> </w:t>
      </w:r>
      <w:proofErr w:type="spellStart"/>
      <w:r w:rsidR="001509CD">
        <w:rPr>
          <w:rFonts w:ascii="Cambria" w:hAnsi="Cambria"/>
          <w:lang w:val="en-ID"/>
        </w:rPr>
        <w:t>kandungan</w:t>
      </w:r>
      <w:proofErr w:type="spellEnd"/>
      <w:r w:rsidR="001509CD">
        <w:rPr>
          <w:rFonts w:ascii="Cambria" w:hAnsi="Cambria"/>
          <w:lang w:val="en-ID"/>
        </w:rPr>
        <w:t xml:space="preserve"> </w:t>
      </w:r>
      <w:proofErr w:type="spellStart"/>
      <w:r w:rsidR="001509CD">
        <w:rPr>
          <w:rFonts w:ascii="Cambria" w:hAnsi="Cambria"/>
          <w:lang w:val="en-ID"/>
        </w:rPr>
        <w:t>gizi</w:t>
      </w:r>
      <w:proofErr w:type="spellEnd"/>
      <w:r w:rsidR="001509CD">
        <w:rPr>
          <w:rFonts w:ascii="Cambria" w:hAnsi="Cambria"/>
          <w:lang w:val="en-ID"/>
        </w:rPr>
        <w:t xml:space="preserve">, formula </w:t>
      </w:r>
      <w:proofErr w:type="spellStart"/>
      <w:r w:rsidR="001509CD">
        <w:rPr>
          <w:rFonts w:ascii="Cambria" w:hAnsi="Cambria"/>
          <w:lang w:val="en-ID"/>
        </w:rPr>
        <w:t>terpilih</w:t>
      </w:r>
      <w:proofErr w:type="spellEnd"/>
      <w:r w:rsidR="001509CD">
        <w:rPr>
          <w:rFonts w:ascii="Cambria" w:hAnsi="Cambria"/>
          <w:lang w:val="en-ID"/>
        </w:rPr>
        <w:t xml:space="preserve"> juga </w:t>
      </w:r>
      <w:proofErr w:type="spellStart"/>
      <w:r w:rsidR="001509CD">
        <w:rPr>
          <w:rFonts w:ascii="Cambria" w:hAnsi="Cambria"/>
          <w:lang w:val="en-ID"/>
        </w:rPr>
        <w:t>dia</w:t>
      </w:r>
      <w:r w:rsidR="009156D2" w:rsidRPr="00090E54">
        <w:rPr>
          <w:rFonts w:ascii="Cambria" w:hAnsi="Cambria"/>
        </w:rPr>
        <w:t>nalisis</w:t>
      </w:r>
      <w:proofErr w:type="spellEnd"/>
      <w:r w:rsidR="009156D2" w:rsidRPr="00090E54">
        <w:rPr>
          <w:rFonts w:ascii="Cambria" w:hAnsi="Cambria"/>
        </w:rPr>
        <w:t xml:space="preserve"> </w:t>
      </w:r>
      <w:proofErr w:type="spellStart"/>
      <w:r w:rsidR="00513EA1">
        <w:rPr>
          <w:rFonts w:ascii="Cambria" w:hAnsi="Cambria"/>
        </w:rPr>
        <w:t>kandungan</w:t>
      </w:r>
      <w:proofErr w:type="spellEnd"/>
      <w:r w:rsidR="009156D2" w:rsidRPr="00090E54">
        <w:rPr>
          <w:rFonts w:ascii="Cambria" w:hAnsi="Cambria"/>
        </w:rPr>
        <w:t xml:space="preserve"> </w:t>
      </w:r>
      <w:proofErr w:type="spellStart"/>
      <w:r w:rsidR="009156D2" w:rsidRPr="00090E54">
        <w:rPr>
          <w:rFonts w:ascii="Cambria" w:hAnsi="Cambria"/>
        </w:rPr>
        <w:t>antioksidan</w:t>
      </w:r>
      <w:proofErr w:type="spellEnd"/>
      <w:r w:rsidR="009156D2" w:rsidRPr="00090E54">
        <w:rPr>
          <w:rFonts w:ascii="Cambria" w:hAnsi="Cambria"/>
        </w:rPr>
        <w:t xml:space="preserve"> </w:t>
      </w:r>
      <w:proofErr w:type="spellStart"/>
      <w:r w:rsidR="009156D2" w:rsidRPr="00090E54">
        <w:rPr>
          <w:rFonts w:ascii="Cambria" w:hAnsi="Cambria"/>
        </w:rPr>
        <w:t>menggunakan</w:t>
      </w:r>
      <w:proofErr w:type="spellEnd"/>
      <w:r w:rsidR="009156D2" w:rsidRPr="00090E54">
        <w:rPr>
          <w:rFonts w:ascii="Cambria" w:hAnsi="Cambria"/>
        </w:rPr>
        <w:t xml:space="preserve"> </w:t>
      </w:r>
      <w:proofErr w:type="spellStart"/>
      <w:r w:rsidR="009156D2" w:rsidRPr="00090E54">
        <w:rPr>
          <w:rFonts w:ascii="Cambria" w:hAnsi="Cambria"/>
        </w:rPr>
        <w:t>metode</w:t>
      </w:r>
      <w:proofErr w:type="spellEnd"/>
      <w:r w:rsidR="009156D2" w:rsidRPr="00090E54">
        <w:rPr>
          <w:rFonts w:ascii="Cambria" w:hAnsi="Cambria"/>
        </w:rPr>
        <w:t xml:space="preserve"> DPPH (1.1-Diphenyl-2-Picrylhydrazyl). </w:t>
      </w:r>
    </w:p>
    <w:p w14:paraId="2B9EC06B" w14:textId="77777777" w:rsidR="003F57CC" w:rsidRPr="00090E54" w:rsidRDefault="003F57CC" w:rsidP="003F57CC">
      <w:pPr>
        <w:spacing w:after="0" w:line="240" w:lineRule="auto"/>
        <w:jc w:val="both"/>
        <w:rPr>
          <w:rFonts w:ascii="Cambria" w:hAnsi="Cambria"/>
        </w:rPr>
      </w:pPr>
    </w:p>
    <w:p w14:paraId="107A2219" w14:textId="77777777" w:rsidR="00247F57" w:rsidRDefault="00247F57" w:rsidP="003F57CC">
      <w:pPr>
        <w:spacing w:after="0" w:line="240" w:lineRule="auto"/>
        <w:jc w:val="both"/>
        <w:rPr>
          <w:rFonts w:ascii="Cambria" w:hAnsi="Cambria" w:cs="Times New Roman"/>
          <w:b/>
          <w:bCs/>
        </w:rPr>
      </w:pPr>
    </w:p>
    <w:p w14:paraId="3E606495" w14:textId="7595D786" w:rsidR="009156D2" w:rsidRPr="00090E54" w:rsidRDefault="009156D2" w:rsidP="003F57CC">
      <w:pPr>
        <w:spacing w:after="0" w:line="240" w:lineRule="auto"/>
        <w:jc w:val="both"/>
        <w:rPr>
          <w:rFonts w:ascii="Cambria" w:hAnsi="Cambria" w:cs="Times New Roman"/>
          <w:b/>
          <w:bCs/>
        </w:rPr>
      </w:pPr>
      <w:proofErr w:type="spellStart"/>
      <w:r w:rsidRPr="00090E54">
        <w:rPr>
          <w:rFonts w:ascii="Cambria" w:hAnsi="Cambria" w:cs="Times New Roman"/>
          <w:b/>
          <w:bCs/>
        </w:rPr>
        <w:t>Analisis</w:t>
      </w:r>
      <w:proofErr w:type="spellEnd"/>
      <w:r w:rsidRPr="00090E54">
        <w:rPr>
          <w:rFonts w:ascii="Cambria" w:hAnsi="Cambria" w:cs="Times New Roman"/>
          <w:b/>
          <w:bCs/>
        </w:rPr>
        <w:t xml:space="preserve"> Data</w:t>
      </w:r>
    </w:p>
    <w:p w14:paraId="6DC4F0AD" w14:textId="27DB186F" w:rsidR="00513EA1" w:rsidRDefault="009156D2" w:rsidP="003F57CC">
      <w:pPr>
        <w:autoSpaceDE w:val="0"/>
        <w:autoSpaceDN w:val="0"/>
        <w:adjustRightInd w:val="0"/>
        <w:spacing w:after="0" w:line="240" w:lineRule="auto"/>
        <w:ind w:firstLine="720"/>
        <w:jc w:val="both"/>
        <w:rPr>
          <w:rFonts w:ascii="Cambria" w:hAnsi="Cambria" w:cs="Times New Roman"/>
          <w:lang w:val="en-ID"/>
        </w:rPr>
      </w:pPr>
      <w:r w:rsidRPr="00090E54">
        <w:rPr>
          <w:rFonts w:ascii="Cambria" w:hAnsi="Cambria" w:cs="Times New Roman"/>
          <w:lang w:val="en-ID"/>
        </w:rPr>
        <w:t xml:space="preserve">Data </w:t>
      </w:r>
      <w:proofErr w:type="spellStart"/>
      <w:r w:rsidRPr="00090E54">
        <w:rPr>
          <w:rFonts w:ascii="Cambria" w:hAnsi="Cambria" w:cs="Times New Roman"/>
          <w:lang w:val="en-ID"/>
        </w:rPr>
        <w:t>hasil</w:t>
      </w:r>
      <w:proofErr w:type="spellEnd"/>
      <w:r w:rsidRPr="00090E54">
        <w:rPr>
          <w:rFonts w:ascii="Cambria" w:hAnsi="Cambria" w:cs="Times New Roman"/>
          <w:lang w:val="en-ID"/>
        </w:rPr>
        <w:t xml:space="preserve"> uji </w:t>
      </w:r>
      <w:proofErr w:type="spellStart"/>
      <w:r w:rsidR="001509CD">
        <w:rPr>
          <w:rFonts w:ascii="Cambria" w:hAnsi="Cambria" w:cs="Times New Roman"/>
          <w:lang w:val="en-ID"/>
        </w:rPr>
        <w:t>sensori</w:t>
      </w:r>
      <w:proofErr w:type="spellEnd"/>
      <w:r w:rsidR="001509CD">
        <w:rPr>
          <w:rFonts w:ascii="Cambria" w:hAnsi="Cambria" w:cs="Times New Roman"/>
          <w:lang w:val="en-ID"/>
        </w:rPr>
        <w:t xml:space="preserve"> (uji hedonic)</w:t>
      </w:r>
      <w:r w:rsidRPr="00090E54">
        <w:rPr>
          <w:rFonts w:ascii="Cambria" w:hAnsi="Cambria" w:cs="Times New Roman"/>
          <w:lang w:val="en-ID"/>
        </w:rPr>
        <w:t xml:space="preserve"> </w:t>
      </w:r>
      <w:proofErr w:type="spellStart"/>
      <w:r w:rsidRPr="00090E54">
        <w:rPr>
          <w:rFonts w:ascii="Cambria" w:hAnsi="Cambria" w:cs="Times New Roman"/>
          <w:lang w:val="en-ID"/>
        </w:rPr>
        <w:t>dianalisis</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secara</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deskriptif</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untuk</w:t>
      </w:r>
      <w:proofErr w:type="spellEnd"/>
      <w:r w:rsidRPr="00090E54">
        <w:rPr>
          <w:rFonts w:ascii="Cambria" w:hAnsi="Cambria" w:cs="Times New Roman"/>
          <w:lang w:val="en-ID"/>
        </w:rPr>
        <w:t xml:space="preserve"> </w:t>
      </w:r>
      <w:proofErr w:type="spellStart"/>
      <w:r w:rsidR="001509CD">
        <w:rPr>
          <w:rFonts w:ascii="Cambria" w:hAnsi="Cambria" w:cs="Times New Roman"/>
          <w:lang w:val="en-ID"/>
        </w:rPr>
        <w:t>mengetahui</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persentase</w:t>
      </w:r>
      <w:proofErr w:type="spellEnd"/>
      <w:r w:rsidRPr="00090E54">
        <w:rPr>
          <w:rFonts w:ascii="Cambria" w:hAnsi="Cambria" w:cs="Times New Roman"/>
          <w:lang w:val="en-ID"/>
        </w:rPr>
        <w:t xml:space="preserve"> </w:t>
      </w:r>
      <w:proofErr w:type="spellStart"/>
      <w:r w:rsidR="001509CD">
        <w:rPr>
          <w:rFonts w:ascii="Cambria" w:hAnsi="Cambria" w:cs="Times New Roman"/>
          <w:lang w:val="en-ID"/>
        </w:rPr>
        <w:t>daya</w:t>
      </w:r>
      <w:proofErr w:type="spellEnd"/>
      <w:r w:rsidR="001509CD">
        <w:rPr>
          <w:rFonts w:ascii="Cambria" w:hAnsi="Cambria" w:cs="Times New Roman"/>
          <w:lang w:val="en-ID"/>
        </w:rPr>
        <w:t xml:space="preserve"> </w:t>
      </w:r>
      <w:proofErr w:type="spellStart"/>
      <w:r w:rsidR="001509CD">
        <w:rPr>
          <w:rFonts w:ascii="Cambria" w:hAnsi="Cambria" w:cs="Times New Roman"/>
          <w:lang w:val="en-ID"/>
        </w:rPr>
        <w:t>terima</w:t>
      </w:r>
      <w:proofErr w:type="spellEnd"/>
      <w:r w:rsidRPr="00090E54">
        <w:rPr>
          <w:rFonts w:ascii="Cambria" w:hAnsi="Cambria" w:cs="Times New Roman"/>
          <w:lang w:val="en-ID"/>
        </w:rPr>
        <w:t xml:space="preserve"> </w:t>
      </w:r>
      <w:proofErr w:type="spellStart"/>
      <w:r w:rsidRPr="00090E54">
        <w:rPr>
          <w:rFonts w:ascii="Cambria" w:hAnsi="Cambria" w:cs="Times New Roman"/>
          <w:lang w:val="en-ID"/>
        </w:rPr>
        <w:t>panelis</w:t>
      </w:r>
      <w:proofErr w:type="spellEnd"/>
      <w:r w:rsidRPr="00090E54">
        <w:rPr>
          <w:rFonts w:ascii="Cambria" w:hAnsi="Cambria" w:cs="Times New Roman"/>
          <w:lang w:val="en-ID"/>
        </w:rPr>
        <w:t xml:space="preserve">. Data yang </w:t>
      </w:r>
      <w:proofErr w:type="spellStart"/>
      <w:r w:rsidRPr="00090E54">
        <w:rPr>
          <w:rFonts w:ascii="Cambria" w:hAnsi="Cambria" w:cs="Times New Roman"/>
          <w:lang w:val="en-ID"/>
        </w:rPr>
        <w:t>digunakan</w:t>
      </w:r>
      <w:proofErr w:type="spellEnd"/>
      <w:r w:rsidRPr="00090E54">
        <w:rPr>
          <w:rFonts w:ascii="Cambria" w:hAnsi="Cambria" w:cs="Times New Roman"/>
          <w:lang w:val="en-ID"/>
        </w:rPr>
        <w:t xml:space="preserve"> pada </w:t>
      </w:r>
      <w:proofErr w:type="spellStart"/>
      <w:r w:rsidRPr="00090E54">
        <w:rPr>
          <w:rFonts w:ascii="Cambria" w:hAnsi="Cambria" w:cs="Times New Roman"/>
          <w:lang w:val="en-ID"/>
        </w:rPr>
        <w:t>analisis</w:t>
      </w:r>
      <w:proofErr w:type="spellEnd"/>
      <w:r w:rsidRPr="00090E54">
        <w:rPr>
          <w:rFonts w:ascii="Cambria" w:hAnsi="Cambria" w:cs="Times New Roman"/>
          <w:lang w:val="en-ID"/>
        </w:rPr>
        <w:t xml:space="preserve"> uji</w:t>
      </w:r>
      <w:r w:rsidRPr="003F57CC">
        <w:rPr>
          <w:rFonts w:ascii="Cambria" w:hAnsi="Cambria" w:cs="Times New Roman"/>
          <w:lang w:val="en-ID"/>
        </w:rPr>
        <w:t xml:space="preserve"> </w:t>
      </w:r>
      <w:r w:rsidR="001509CD">
        <w:rPr>
          <w:rFonts w:ascii="Cambria" w:hAnsi="Cambria" w:cs="Times New Roman"/>
          <w:lang w:val="en-ID"/>
        </w:rPr>
        <w:t>hedonic</w:t>
      </w:r>
      <w:r w:rsidRPr="003F57CC">
        <w:rPr>
          <w:rFonts w:ascii="Cambria" w:hAnsi="Cambria" w:cs="Times New Roman"/>
          <w:lang w:val="en-ID"/>
        </w:rPr>
        <w:t xml:space="preserve"> </w:t>
      </w:r>
      <w:proofErr w:type="spellStart"/>
      <w:r w:rsidRPr="003F57CC">
        <w:rPr>
          <w:rFonts w:ascii="Cambria" w:hAnsi="Cambria" w:cs="Times New Roman"/>
          <w:lang w:val="en-ID"/>
        </w:rPr>
        <w:t>merupakan</w:t>
      </w:r>
      <w:proofErr w:type="spellEnd"/>
      <w:r w:rsidRPr="003F57CC">
        <w:rPr>
          <w:rFonts w:ascii="Cambria" w:hAnsi="Cambria" w:cs="Times New Roman"/>
          <w:lang w:val="en-ID"/>
        </w:rPr>
        <w:t xml:space="preserve"> </w:t>
      </w:r>
      <w:proofErr w:type="spellStart"/>
      <w:r w:rsidRPr="003F57CC">
        <w:rPr>
          <w:rFonts w:ascii="Cambria" w:hAnsi="Cambria" w:cs="Times New Roman"/>
          <w:lang w:val="en-ID"/>
        </w:rPr>
        <w:t>nilai</w:t>
      </w:r>
      <w:proofErr w:type="spellEnd"/>
      <w:r w:rsidRPr="003F57CC">
        <w:rPr>
          <w:rFonts w:ascii="Cambria" w:hAnsi="Cambria" w:cs="Times New Roman"/>
          <w:lang w:val="en-ID"/>
        </w:rPr>
        <w:t xml:space="preserve"> </w:t>
      </w:r>
      <w:proofErr w:type="spellStart"/>
      <w:r w:rsidRPr="003F57CC">
        <w:rPr>
          <w:rFonts w:ascii="Cambria" w:hAnsi="Cambria" w:cs="Times New Roman"/>
          <w:lang w:val="en-ID"/>
        </w:rPr>
        <w:t>rataan</w:t>
      </w:r>
      <w:proofErr w:type="spellEnd"/>
      <w:r w:rsidRPr="003F57CC">
        <w:rPr>
          <w:rFonts w:ascii="Cambria" w:hAnsi="Cambria" w:cs="Times New Roman"/>
          <w:lang w:val="en-ID"/>
        </w:rPr>
        <w:t xml:space="preserve">. </w:t>
      </w:r>
      <w:proofErr w:type="spellStart"/>
      <w:r w:rsidR="001509CD">
        <w:rPr>
          <w:rFonts w:ascii="Cambria" w:hAnsi="Cambria" w:cs="Times New Roman"/>
          <w:lang w:val="en-ID"/>
        </w:rPr>
        <w:t>A</w:t>
      </w:r>
      <w:r w:rsidR="00513EA1">
        <w:rPr>
          <w:rFonts w:ascii="Cambria" w:hAnsi="Cambria" w:cs="Times New Roman"/>
          <w:lang w:val="en-ID"/>
        </w:rPr>
        <w:t>nalisis</w:t>
      </w:r>
      <w:proofErr w:type="spellEnd"/>
      <w:r w:rsidR="00513EA1">
        <w:rPr>
          <w:rFonts w:ascii="Cambria" w:hAnsi="Cambria" w:cs="Times New Roman"/>
          <w:lang w:val="en-ID"/>
        </w:rPr>
        <w:t xml:space="preserve"> statistic pada </w:t>
      </w:r>
      <w:r w:rsidRPr="003F57CC">
        <w:rPr>
          <w:rFonts w:ascii="Cambria" w:hAnsi="Cambria" w:cs="Times New Roman"/>
          <w:lang w:val="en-ID"/>
        </w:rPr>
        <w:t xml:space="preserve">data uji </w:t>
      </w:r>
      <w:proofErr w:type="spellStart"/>
      <w:r w:rsidR="001509CD">
        <w:rPr>
          <w:rFonts w:ascii="Cambria" w:hAnsi="Cambria" w:cs="Times New Roman"/>
          <w:lang w:val="en-ID"/>
        </w:rPr>
        <w:t>hedonik</w:t>
      </w:r>
      <w:proofErr w:type="spellEnd"/>
      <w:r w:rsidRPr="003F57CC">
        <w:rPr>
          <w:rFonts w:ascii="Cambria" w:hAnsi="Cambria" w:cs="Times New Roman"/>
          <w:lang w:val="en-ID"/>
        </w:rPr>
        <w:t xml:space="preserve"> </w:t>
      </w:r>
      <w:proofErr w:type="spellStart"/>
      <w:r w:rsidR="00513EA1">
        <w:rPr>
          <w:rFonts w:ascii="Cambria" w:hAnsi="Cambria" w:cs="Times New Roman"/>
          <w:lang w:val="en-ID"/>
        </w:rPr>
        <w:t>di</w:t>
      </w:r>
      <w:r w:rsidRPr="003F57CC">
        <w:rPr>
          <w:rFonts w:ascii="Cambria" w:hAnsi="Cambria" w:cs="Times New Roman"/>
          <w:lang w:val="en-ID"/>
        </w:rPr>
        <w:t>uji</w:t>
      </w:r>
      <w:proofErr w:type="spellEnd"/>
      <w:r w:rsidR="00513EA1">
        <w:rPr>
          <w:rFonts w:ascii="Cambria" w:hAnsi="Cambria" w:cs="Times New Roman"/>
          <w:lang w:val="en-ID"/>
        </w:rPr>
        <w:t xml:space="preserve"> </w:t>
      </w:r>
      <w:proofErr w:type="spellStart"/>
      <w:r w:rsidR="00513EA1">
        <w:rPr>
          <w:rFonts w:ascii="Cambria" w:hAnsi="Cambria" w:cs="Times New Roman"/>
          <w:lang w:val="en-ID"/>
        </w:rPr>
        <w:t>menggunakan</w:t>
      </w:r>
      <w:proofErr w:type="spellEnd"/>
      <w:r w:rsidRPr="003F57CC">
        <w:rPr>
          <w:rFonts w:ascii="Cambria" w:hAnsi="Cambria" w:cs="Times New Roman"/>
          <w:lang w:val="en-ID"/>
        </w:rPr>
        <w:t xml:space="preserve"> ANOVA</w:t>
      </w:r>
      <w:r w:rsidR="00513EA1">
        <w:rPr>
          <w:rFonts w:ascii="Cambria" w:hAnsi="Cambria" w:cs="Times New Roman"/>
          <w:lang w:val="en-ID"/>
        </w:rPr>
        <w:t>.</w:t>
      </w:r>
      <w:r w:rsidRPr="003F57CC">
        <w:rPr>
          <w:rFonts w:ascii="Cambria" w:hAnsi="Cambria" w:cs="Times New Roman"/>
          <w:lang w:val="en-ID"/>
        </w:rPr>
        <w:t xml:space="preserve"> </w:t>
      </w:r>
      <w:r w:rsidR="00513EA1">
        <w:rPr>
          <w:rFonts w:ascii="Cambria" w:hAnsi="Cambria" w:cs="Times New Roman"/>
          <w:lang w:val="en-ID"/>
        </w:rPr>
        <w:t>J</w:t>
      </w:r>
      <w:r w:rsidRPr="003F57CC">
        <w:rPr>
          <w:rFonts w:ascii="Cambria" w:hAnsi="Cambria" w:cs="Times New Roman"/>
          <w:lang w:val="en-ID"/>
        </w:rPr>
        <w:t xml:space="preserve">ika </w:t>
      </w:r>
      <w:proofErr w:type="spellStart"/>
      <w:r w:rsidR="00513EA1">
        <w:rPr>
          <w:rFonts w:ascii="Cambria" w:hAnsi="Cambria" w:cs="Times New Roman"/>
          <w:lang w:val="en-ID"/>
        </w:rPr>
        <w:t>terdapat</w:t>
      </w:r>
      <w:proofErr w:type="spellEnd"/>
      <w:r w:rsidR="00513EA1">
        <w:rPr>
          <w:rFonts w:ascii="Cambria" w:hAnsi="Cambria" w:cs="Times New Roman"/>
          <w:lang w:val="en-ID"/>
        </w:rPr>
        <w:t xml:space="preserve"> </w:t>
      </w:r>
      <w:proofErr w:type="spellStart"/>
      <w:r w:rsidR="00A53AB3">
        <w:rPr>
          <w:rFonts w:ascii="Cambria" w:hAnsi="Cambria" w:cs="Times New Roman"/>
          <w:lang w:val="en-ID"/>
        </w:rPr>
        <w:t>perbedaan</w:t>
      </w:r>
      <w:proofErr w:type="spellEnd"/>
      <w:r w:rsidRPr="003F57CC">
        <w:rPr>
          <w:rFonts w:ascii="Cambria" w:hAnsi="Cambria" w:cs="Times New Roman"/>
          <w:lang w:val="en-ID"/>
        </w:rPr>
        <w:t xml:space="preserve"> </w:t>
      </w:r>
      <w:proofErr w:type="spellStart"/>
      <w:r w:rsidRPr="003F57CC">
        <w:rPr>
          <w:rFonts w:ascii="Cambria" w:hAnsi="Cambria" w:cs="Times New Roman"/>
          <w:lang w:val="en-ID"/>
        </w:rPr>
        <w:t>nyata</w:t>
      </w:r>
      <w:proofErr w:type="spellEnd"/>
      <w:r w:rsidR="00A53AB3">
        <w:rPr>
          <w:rFonts w:ascii="Cambria" w:hAnsi="Cambria" w:cs="Times New Roman"/>
          <w:lang w:val="en-ID"/>
        </w:rPr>
        <w:t xml:space="preserve"> pada </w:t>
      </w:r>
      <w:proofErr w:type="spellStart"/>
      <w:r w:rsidR="00A53AB3">
        <w:rPr>
          <w:rFonts w:ascii="Cambria" w:hAnsi="Cambria" w:cs="Times New Roman"/>
          <w:lang w:val="en-ID"/>
        </w:rPr>
        <w:t>atribut</w:t>
      </w:r>
      <w:proofErr w:type="spellEnd"/>
      <w:r w:rsidR="00A53AB3">
        <w:rPr>
          <w:rFonts w:ascii="Cambria" w:hAnsi="Cambria" w:cs="Times New Roman"/>
          <w:lang w:val="en-ID"/>
        </w:rPr>
        <w:t xml:space="preserve"> </w:t>
      </w:r>
      <w:proofErr w:type="spellStart"/>
      <w:r w:rsidR="00A53AB3">
        <w:rPr>
          <w:rFonts w:ascii="Cambria" w:hAnsi="Cambria" w:cs="Times New Roman"/>
          <w:lang w:val="en-ID"/>
        </w:rPr>
        <w:t>sensori</w:t>
      </w:r>
      <w:proofErr w:type="spellEnd"/>
      <w:r w:rsidR="00A53AB3">
        <w:rPr>
          <w:rFonts w:ascii="Cambria" w:hAnsi="Cambria" w:cs="Times New Roman"/>
          <w:lang w:val="en-ID"/>
        </w:rPr>
        <w:t xml:space="preserve"> formula </w:t>
      </w:r>
      <w:proofErr w:type="spellStart"/>
      <w:r w:rsidR="00A53AB3">
        <w:rPr>
          <w:rFonts w:ascii="Cambria" w:hAnsi="Cambria" w:cs="Times New Roman"/>
          <w:lang w:val="en-ID"/>
        </w:rPr>
        <w:t>biskuit</w:t>
      </w:r>
      <w:proofErr w:type="spellEnd"/>
      <w:r w:rsidR="00513EA1">
        <w:rPr>
          <w:rFonts w:ascii="Cambria" w:hAnsi="Cambria" w:cs="Times New Roman"/>
          <w:lang w:val="en-ID"/>
        </w:rPr>
        <w:t xml:space="preserve">, </w:t>
      </w:r>
      <w:proofErr w:type="spellStart"/>
      <w:r w:rsidR="00513EA1">
        <w:rPr>
          <w:rFonts w:ascii="Cambria" w:hAnsi="Cambria" w:cs="Times New Roman"/>
          <w:lang w:val="en-ID"/>
        </w:rPr>
        <w:t>maka</w:t>
      </w:r>
      <w:proofErr w:type="spellEnd"/>
      <w:r w:rsidR="00513EA1">
        <w:rPr>
          <w:rFonts w:ascii="Cambria" w:hAnsi="Cambria" w:cs="Times New Roman"/>
          <w:lang w:val="en-ID"/>
        </w:rPr>
        <w:t xml:space="preserve"> </w:t>
      </w:r>
      <w:proofErr w:type="spellStart"/>
      <w:r w:rsidR="008640BB">
        <w:rPr>
          <w:rFonts w:ascii="Cambria" w:hAnsi="Cambria" w:cs="Times New Roman"/>
          <w:lang w:val="en-ID"/>
        </w:rPr>
        <w:t>analisis</w:t>
      </w:r>
      <w:proofErr w:type="spellEnd"/>
      <w:r w:rsidR="008640BB">
        <w:rPr>
          <w:rFonts w:ascii="Cambria" w:hAnsi="Cambria" w:cs="Times New Roman"/>
          <w:lang w:val="en-ID"/>
        </w:rPr>
        <w:t xml:space="preserve"> </w:t>
      </w:r>
      <w:r w:rsidR="00513EA1">
        <w:rPr>
          <w:rFonts w:ascii="Cambria" w:hAnsi="Cambria" w:cs="Times New Roman"/>
          <w:lang w:val="en-ID"/>
        </w:rPr>
        <w:t xml:space="preserve">data </w:t>
      </w:r>
      <w:proofErr w:type="spellStart"/>
      <w:r w:rsidR="008640BB">
        <w:rPr>
          <w:rFonts w:ascii="Cambria" w:hAnsi="Cambria" w:cs="Times New Roman"/>
          <w:lang w:val="en-ID"/>
        </w:rPr>
        <w:t>di</w:t>
      </w:r>
      <w:r w:rsidR="00513EA1">
        <w:rPr>
          <w:rFonts w:ascii="Cambria" w:hAnsi="Cambria" w:cs="Times New Roman"/>
          <w:lang w:val="en-ID"/>
        </w:rPr>
        <w:t>lanjut</w:t>
      </w:r>
      <w:r w:rsidR="008640BB">
        <w:rPr>
          <w:rFonts w:ascii="Cambria" w:hAnsi="Cambria" w:cs="Times New Roman"/>
          <w:lang w:val="en-ID"/>
        </w:rPr>
        <w:t>kan</w:t>
      </w:r>
      <w:proofErr w:type="spellEnd"/>
      <w:r w:rsidRPr="003F57CC">
        <w:rPr>
          <w:rFonts w:ascii="Cambria" w:hAnsi="Cambria" w:cs="Times New Roman"/>
          <w:lang w:val="en-ID"/>
        </w:rPr>
        <w:t xml:space="preserve"> </w:t>
      </w:r>
      <w:proofErr w:type="spellStart"/>
      <w:r w:rsidRPr="003F57CC">
        <w:rPr>
          <w:rFonts w:ascii="Cambria" w:hAnsi="Cambria" w:cs="Times New Roman"/>
          <w:lang w:val="en-ID"/>
        </w:rPr>
        <w:t>dengan</w:t>
      </w:r>
      <w:proofErr w:type="spellEnd"/>
      <w:r w:rsidRPr="003F57CC">
        <w:rPr>
          <w:rFonts w:ascii="Cambria" w:hAnsi="Cambria" w:cs="Times New Roman"/>
          <w:lang w:val="en-ID"/>
        </w:rPr>
        <w:t xml:space="preserve"> uji Duncan’s Multiple Range Test. </w:t>
      </w:r>
    </w:p>
    <w:p w14:paraId="12FF8784" w14:textId="5C234F80" w:rsidR="009156D2" w:rsidRDefault="008640BB" w:rsidP="003F57CC">
      <w:pPr>
        <w:autoSpaceDE w:val="0"/>
        <w:autoSpaceDN w:val="0"/>
        <w:adjustRightInd w:val="0"/>
        <w:spacing w:after="0" w:line="240" w:lineRule="auto"/>
        <w:ind w:firstLine="720"/>
        <w:jc w:val="both"/>
        <w:rPr>
          <w:rFonts w:ascii="Cambria" w:hAnsi="Cambria" w:cs="Times New Roman"/>
          <w:lang w:val="en-ID"/>
        </w:rPr>
      </w:pPr>
      <w:commentRangeStart w:id="14"/>
      <w:r>
        <w:rPr>
          <w:rFonts w:ascii="Cambria" w:hAnsi="Cambria" w:cs="Times New Roman"/>
          <w:lang w:val="en-ID"/>
        </w:rPr>
        <w:t xml:space="preserve">Data </w:t>
      </w:r>
      <w:proofErr w:type="spellStart"/>
      <w:r>
        <w:rPr>
          <w:rFonts w:ascii="Cambria" w:hAnsi="Cambria" w:cs="Times New Roman"/>
          <w:lang w:val="en-ID"/>
        </w:rPr>
        <w:t>hasil</w:t>
      </w:r>
      <w:proofErr w:type="spellEnd"/>
      <w:r>
        <w:rPr>
          <w:rFonts w:ascii="Cambria" w:hAnsi="Cambria" w:cs="Times New Roman"/>
          <w:lang w:val="en-ID"/>
        </w:rPr>
        <w:t xml:space="preserve"> uji </w:t>
      </w:r>
      <w:proofErr w:type="spellStart"/>
      <w:r>
        <w:rPr>
          <w:rFonts w:ascii="Cambria" w:hAnsi="Cambria" w:cs="Times New Roman"/>
          <w:lang w:val="en-ID"/>
        </w:rPr>
        <w:t>kandungan</w:t>
      </w:r>
      <w:proofErr w:type="spellEnd"/>
      <w:r>
        <w:rPr>
          <w:rFonts w:ascii="Cambria" w:hAnsi="Cambria" w:cs="Times New Roman"/>
          <w:lang w:val="en-ID"/>
        </w:rPr>
        <w:t xml:space="preserve"> </w:t>
      </w:r>
      <w:proofErr w:type="spellStart"/>
      <w:r w:rsidR="009156D2" w:rsidRPr="003F57CC">
        <w:rPr>
          <w:rFonts w:ascii="Cambria" w:hAnsi="Cambria" w:cs="Times New Roman"/>
          <w:lang w:val="en-ID"/>
        </w:rPr>
        <w:t>gizi</w:t>
      </w:r>
      <w:proofErr w:type="spellEnd"/>
      <w:r>
        <w:rPr>
          <w:rFonts w:ascii="Cambria" w:hAnsi="Cambria" w:cs="Times New Roman"/>
          <w:lang w:val="en-ID"/>
        </w:rPr>
        <w:t xml:space="preserve"> dan </w:t>
      </w:r>
      <w:proofErr w:type="spellStart"/>
      <w:r>
        <w:rPr>
          <w:rFonts w:ascii="Cambria" w:hAnsi="Cambria" w:cs="Times New Roman"/>
          <w:lang w:val="en-ID"/>
        </w:rPr>
        <w:t>antikosidan</w:t>
      </w:r>
      <w:proofErr w:type="spellEnd"/>
      <w:r w:rsidR="009156D2" w:rsidRPr="003F57CC">
        <w:rPr>
          <w:rFonts w:ascii="Cambria" w:hAnsi="Cambria" w:cs="Times New Roman"/>
          <w:lang w:val="en-ID"/>
        </w:rPr>
        <w:t xml:space="preserve"> </w:t>
      </w:r>
      <w:proofErr w:type="spellStart"/>
      <w:r w:rsidR="009156D2" w:rsidRPr="003F57CC">
        <w:rPr>
          <w:rFonts w:ascii="Cambria" w:hAnsi="Cambria" w:cs="Times New Roman"/>
          <w:lang w:val="en-ID"/>
        </w:rPr>
        <w:t>biskuit</w:t>
      </w:r>
      <w:proofErr w:type="spellEnd"/>
      <w:r w:rsidR="009156D2" w:rsidRPr="003F57CC">
        <w:rPr>
          <w:rFonts w:ascii="Cambria" w:hAnsi="Cambria" w:cs="Times New Roman"/>
          <w:lang w:val="en-ID"/>
        </w:rPr>
        <w:t xml:space="preserve"> </w:t>
      </w:r>
      <w:proofErr w:type="spellStart"/>
      <w:r>
        <w:rPr>
          <w:rFonts w:ascii="Cambria" w:hAnsi="Cambria" w:cs="Times New Roman"/>
          <w:lang w:val="en-ID"/>
        </w:rPr>
        <w:t>diolah</w:t>
      </w:r>
      <w:proofErr w:type="spellEnd"/>
      <w:r>
        <w:rPr>
          <w:rFonts w:ascii="Cambria" w:hAnsi="Cambria" w:cs="Times New Roman"/>
          <w:lang w:val="en-ID"/>
        </w:rPr>
        <w:t xml:space="preserve"> </w:t>
      </w:r>
      <w:proofErr w:type="spellStart"/>
      <w:r>
        <w:rPr>
          <w:rFonts w:ascii="Cambria" w:hAnsi="Cambria" w:cs="Times New Roman"/>
          <w:lang w:val="en-ID"/>
        </w:rPr>
        <w:t>dengan</w:t>
      </w:r>
      <w:proofErr w:type="spellEnd"/>
      <w:r>
        <w:rPr>
          <w:rFonts w:ascii="Cambria" w:hAnsi="Cambria" w:cs="Times New Roman"/>
          <w:lang w:val="en-ID"/>
        </w:rPr>
        <w:t xml:space="preserve"> </w:t>
      </w:r>
      <w:proofErr w:type="spellStart"/>
      <w:r>
        <w:rPr>
          <w:rFonts w:ascii="Cambria" w:hAnsi="Cambria" w:cs="Times New Roman"/>
          <w:lang w:val="en-ID"/>
        </w:rPr>
        <w:t>cara</w:t>
      </w:r>
      <w:proofErr w:type="spellEnd"/>
      <w:r>
        <w:rPr>
          <w:rFonts w:ascii="Cambria" w:hAnsi="Cambria" w:cs="Times New Roman"/>
          <w:lang w:val="en-ID"/>
        </w:rPr>
        <w:t xml:space="preserve"> </w:t>
      </w:r>
      <w:proofErr w:type="spellStart"/>
      <w:r w:rsidR="009156D2" w:rsidRPr="003F57CC">
        <w:rPr>
          <w:rFonts w:ascii="Cambria" w:hAnsi="Cambria" w:cs="Times New Roman"/>
          <w:lang w:val="en-ID"/>
        </w:rPr>
        <w:t>ditabulasi</w:t>
      </w:r>
      <w:proofErr w:type="spellEnd"/>
      <w:r w:rsidR="009156D2" w:rsidRPr="003F57CC">
        <w:rPr>
          <w:rFonts w:ascii="Cambria" w:hAnsi="Cambria" w:cs="Times New Roman"/>
          <w:lang w:val="en-ID"/>
        </w:rPr>
        <w:t xml:space="preserve"> dan </w:t>
      </w:r>
      <w:proofErr w:type="spellStart"/>
      <w:r w:rsidR="009156D2" w:rsidRPr="003F57CC">
        <w:rPr>
          <w:rFonts w:ascii="Cambria" w:hAnsi="Cambria" w:cs="Times New Roman"/>
          <w:lang w:val="en-ID"/>
        </w:rPr>
        <w:t>dirata-ratakan</w:t>
      </w:r>
      <w:proofErr w:type="spellEnd"/>
      <w:r w:rsidR="009156D2" w:rsidRPr="003F57CC">
        <w:rPr>
          <w:rFonts w:ascii="Cambria" w:hAnsi="Cambria" w:cs="Times New Roman"/>
          <w:lang w:val="en-ID"/>
        </w:rPr>
        <w:t xml:space="preserve"> </w:t>
      </w:r>
      <w:proofErr w:type="spellStart"/>
      <w:r w:rsidR="009156D2" w:rsidRPr="003F57CC">
        <w:rPr>
          <w:rFonts w:ascii="Cambria" w:hAnsi="Cambria" w:cs="Times New Roman"/>
          <w:lang w:val="en-ID"/>
        </w:rPr>
        <w:t>untuk</w:t>
      </w:r>
      <w:proofErr w:type="spellEnd"/>
      <w:r w:rsidR="009156D2" w:rsidRPr="003F57CC">
        <w:rPr>
          <w:rFonts w:ascii="Cambria" w:hAnsi="Cambria" w:cs="Times New Roman"/>
          <w:lang w:val="en-ID"/>
        </w:rPr>
        <w:t xml:space="preserve"> </w:t>
      </w:r>
      <w:proofErr w:type="spellStart"/>
      <w:r w:rsidR="009156D2" w:rsidRPr="003F57CC">
        <w:rPr>
          <w:rFonts w:ascii="Cambria" w:hAnsi="Cambria" w:cs="Times New Roman"/>
          <w:lang w:val="en-ID"/>
        </w:rPr>
        <w:t>selanjutnya</w:t>
      </w:r>
      <w:proofErr w:type="spellEnd"/>
      <w:r w:rsidR="009156D2" w:rsidRPr="003F57CC">
        <w:rPr>
          <w:rFonts w:ascii="Cambria" w:hAnsi="Cambria" w:cs="Times New Roman"/>
          <w:lang w:val="en-ID"/>
        </w:rPr>
        <w:t xml:space="preserve"> </w:t>
      </w:r>
      <w:proofErr w:type="spellStart"/>
      <w:r w:rsidR="00513EA1">
        <w:rPr>
          <w:rFonts w:ascii="Cambria" w:hAnsi="Cambria" w:cs="Times New Roman"/>
          <w:lang w:val="en-ID"/>
        </w:rPr>
        <w:t>dianalisis</w:t>
      </w:r>
      <w:proofErr w:type="spellEnd"/>
      <w:r w:rsidR="00513EA1">
        <w:rPr>
          <w:rFonts w:ascii="Cambria" w:hAnsi="Cambria" w:cs="Times New Roman"/>
          <w:lang w:val="en-ID"/>
        </w:rPr>
        <w:t xml:space="preserve"> </w:t>
      </w:r>
      <w:proofErr w:type="spellStart"/>
      <w:r w:rsidR="00513EA1">
        <w:rPr>
          <w:rFonts w:ascii="Cambria" w:hAnsi="Cambria" w:cs="Times New Roman"/>
          <w:lang w:val="en-ID"/>
        </w:rPr>
        <w:t>secara</w:t>
      </w:r>
      <w:proofErr w:type="spellEnd"/>
      <w:r w:rsidR="00513EA1">
        <w:rPr>
          <w:rFonts w:ascii="Cambria" w:hAnsi="Cambria" w:cs="Times New Roman"/>
          <w:lang w:val="en-ID"/>
        </w:rPr>
        <w:t xml:space="preserve"> </w:t>
      </w:r>
      <w:proofErr w:type="spellStart"/>
      <w:r w:rsidR="00513EA1">
        <w:rPr>
          <w:rFonts w:ascii="Cambria" w:hAnsi="Cambria" w:cs="Times New Roman"/>
          <w:lang w:val="en-ID"/>
        </w:rPr>
        <w:t>deskri</w:t>
      </w:r>
      <w:r w:rsidR="00B82785">
        <w:rPr>
          <w:rFonts w:ascii="Cambria" w:hAnsi="Cambria" w:cs="Times New Roman"/>
          <w:lang w:val="en-ID"/>
        </w:rPr>
        <w:t>p</w:t>
      </w:r>
      <w:r w:rsidR="00513EA1">
        <w:rPr>
          <w:rFonts w:ascii="Cambria" w:hAnsi="Cambria" w:cs="Times New Roman"/>
          <w:lang w:val="en-ID"/>
        </w:rPr>
        <w:t>tif</w:t>
      </w:r>
      <w:proofErr w:type="spellEnd"/>
      <w:r w:rsidR="00513EA1">
        <w:rPr>
          <w:rFonts w:ascii="Cambria" w:hAnsi="Cambria" w:cs="Times New Roman"/>
          <w:lang w:val="en-ID"/>
        </w:rPr>
        <w:t>.</w:t>
      </w:r>
      <w:commentRangeEnd w:id="14"/>
      <w:r w:rsidR="005259FA">
        <w:rPr>
          <w:rStyle w:val="CommentReference"/>
        </w:rPr>
        <w:commentReference w:id="14"/>
      </w:r>
    </w:p>
    <w:p w14:paraId="6EF0A74F" w14:textId="77777777" w:rsidR="003F57CC" w:rsidRPr="003F57CC" w:rsidRDefault="003F57CC" w:rsidP="003F57CC">
      <w:pPr>
        <w:autoSpaceDE w:val="0"/>
        <w:autoSpaceDN w:val="0"/>
        <w:adjustRightInd w:val="0"/>
        <w:spacing w:after="0" w:line="240" w:lineRule="auto"/>
        <w:ind w:firstLine="720"/>
        <w:jc w:val="both"/>
        <w:rPr>
          <w:rFonts w:ascii="Cambria" w:hAnsi="Cambria" w:cs="Times New Roman"/>
          <w:lang w:val="en-ID"/>
        </w:rPr>
      </w:pPr>
    </w:p>
    <w:p w14:paraId="59E04F35" w14:textId="4782E80E" w:rsidR="00C72575" w:rsidRDefault="00FA4AE5" w:rsidP="00F03C4C">
      <w:pPr>
        <w:pStyle w:val="Heading1"/>
        <w:spacing w:before="0" w:after="120" w:line="240" w:lineRule="auto"/>
        <w:rPr>
          <w:rFonts w:ascii="Cambria" w:eastAsia="Cambria" w:hAnsi="Cambria" w:cs="Cambria"/>
          <w:b/>
          <w:color w:val="000000"/>
          <w:sz w:val="28"/>
          <w:szCs w:val="28"/>
        </w:rPr>
      </w:pPr>
      <w:r>
        <w:rPr>
          <w:rFonts w:ascii="Cambria" w:eastAsia="Cambria" w:hAnsi="Cambria" w:cs="Cambria"/>
          <w:b/>
          <w:color w:val="000000"/>
          <w:sz w:val="28"/>
          <w:szCs w:val="28"/>
        </w:rPr>
        <w:t xml:space="preserve">Hasil dan </w:t>
      </w:r>
      <w:proofErr w:type="spellStart"/>
      <w:r>
        <w:rPr>
          <w:rFonts w:ascii="Cambria" w:eastAsia="Cambria" w:hAnsi="Cambria" w:cs="Cambria"/>
          <w:b/>
          <w:color w:val="000000"/>
          <w:sz w:val="28"/>
          <w:szCs w:val="28"/>
        </w:rPr>
        <w:t>Pembahasan</w:t>
      </w:r>
      <w:proofErr w:type="spellEnd"/>
    </w:p>
    <w:p w14:paraId="40173A83" w14:textId="77777777" w:rsidR="00AE6C57" w:rsidRDefault="0066515B" w:rsidP="0066515B">
      <w:pPr>
        <w:pStyle w:val="Default"/>
        <w:ind w:firstLine="720"/>
        <w:jc w:val="both"/>
        <w:rPr>
          <w:rFonts w:ascii="Cambria" w:hAnsi="Cambria" w:cs="Times New Roman"/>
          <w:sz w:val="22"/>
          <w:szCs w:val="22"/>
        </w:rPr>
      </w:pPr>
      <w:proofErr w:type="spellStart"/>
      <w:r w:rsidRPr="0066515B">
        <w:rPr>
          <w:rFonts w:ascii="Cambria" w:hAnsi="Cambria" w:cs="Times New Roman"/>
          <w:sz w:val="22"/>
          <w:szCs w:val="22"/>
        </w:rPr>
        <w:t>Asupan</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gizi</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merupakan</w:t>
      </w:r>
      <w:proofErr w:type="spellEnd"/>
      <w:r w:rsidRPr="0066515B">
        <w:rPr>
          <w:rFonts w:ascii="Cambria" w:hAnsi="Cambria" w:cs="Times New Roman"/>
          <w:sz w:val="22"/>
          <w:szCs w:val="22"/>
        </w:rPr>
        <w:t xml:space="preserve"> salah </w:t>
      </w:r>
      <w:proofErr w:type="spellStart"/>
      <w:r w:rsidRPr="0066515B">
        <w:rPr>
          <w:rFonts w:ascii="Cambria" w:hAnsi="Cambria" w:cs="Times New Roman"/>
          <w:sz w:val="22"/>
          <w:szCs w:val="22"/>
        </w:rPr>
        <w:t>satu</w:t>
      </w:r>
      <w:proofErr w:type="spellEnd"/>
      <w:r w:rsidRPr="0066515B">
        <w:rPr>
          <w:rFonts w:ascii="Cambria" w:hAnsi="Cambria" w:cs="Times New Roman"/>
          <w:sz w:val="22"/>
          <w:szCs w:val="22"/>
        </w:rPr>
        <w:t xml:space="preserve"> strategi yang </w:t>
      </w:r>
      <w:proofErr w:type="spellStart"/>
      <w:r w:rsidRPr="0066515B">
        <w:rPr>
          <w:rFonts w:ascii="Cambria" w:hAnsi="Cambria" w:cs="Times New Roman"/>
          <w:sz w:val="22"/>
          <w:szCs w:val="22"/>
        </w:rPr>
        <w:t>potensial</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dalam</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pencegahan</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maupun</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penyembuhan</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infeksi</w:t>
      </w:r>
      <w:proofErr w:type="spellEnd"/>
      <w:r w:rsidRPr="0066515B">
        <w:rPr>
          <w:rFonts w:ascii="Cambria" w:hAnsi="Cambria" w:cs="Times New Roman"/>
          <w:sz w:val="22"/>
          <w:szCs w:val="22"/>
        </w:rPr>
        <w:t xml:space="preserve"> covid-19.</w:t>
      </w:r>
      <w:r w:rsidRPr="0066515B">
        <w:rPr>
          <w:rFonts w:ascii="Cambria" w:eastAsia="Cambria" w:hAnsi="Cambria" w:cs="Cambria"/>
          <w:sz w:val="22"/>
          <w:szCs w:val="22"/>
        </w:rPr>
        <w:t xml:space="preserve"> </w:t>
      </w:r>
      <w:proofErr w:type="spellStart"/>
      <w:r w:rsidRPr="0066515B">
        <w:rPr>
          <w:rFonts w:ascii="Cambria" w:hAnsi="Cambria" w:cs="Times New Roman"/>
          <w:sz w:val="22"/>
          <w:szCs w:val="22"/>
        </w:rPr>
        <w:t>Zat</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gizi</w:t>
      </w:r>
      <w:proofErr w:type="spellEnd"/>
      <w:r w:rsidRPr="0066515B">
        <w:rPr>
          <w:rFonts w:ascii="Cambria" w:hAnsi="Cambria" w:cs="Times New Roman"/>
          <w:sz w:val="22"/>
          <w:szCs w:val="22"/>
        </w:rPr>
        <w:t xml:space="preserve"> yang </w:t>
      </w:r>
      <w:proofErr w:type="spellStart"/>
      <w:r w:rsidRPr="0066515B">
        <w:rPr>
          <w:rFonts w:ascii="Cambria" w:hAnsi="Cambria" w:cs="Times New Roman"/>
          <w:sz w:val="22"/>
          <w:szCs w:val="22"/>
        </w:rPr>
        <w:t>diperlukan</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untuk</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mengoptimalkan</w:t>
      </w:r>
      <w:proofErr w:type="spellEnd"/>
      <w:r w:rsidRPr="0066515B">
        <w:rPr>
          <w:rFonts w:ascii="Cambria" w:hAnsi="Cambria" w:cs="Times New Roman"/>
          <w:sz w:val="22"/>
          <w:szCs w:val="22"/>
        </w:rPr>
        <w:t xml:space="preserve"> system </w:t>
      </w:r>
      <w:proofErr w:type="spellStart"/>
      <w:r w:rsidRPr="0066515B">
        <w:rPr>
          <w:rFonts w:ascii="Cambria" w:hAnsi="Cambria" w:cs="Times New Roman"/>
          <w:sz w:val="22"/>
          <w:szCs w:val="22"/>
        </w:rPr>
        <w:t>kekebalan</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tubuh</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selain</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zat</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gizi</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makro</w:t>
      </w:r>
      <w:proofErr w:type="spellEnd"/>
      <w:r w:rsidRPr="0066515B">
        <w:rPr>
          <w:rFonts w:ascii="Cambria" w:hAnsi="Cambria" w:cs="Times New Roman"/>
          <w:sz w:val="22"/>
          <w:szCs w:val="22"/>
        </w:rPr>
        <w:t xml:space="preserve"> juga </w:t>
      </w:r>
      <w:proofErr w:type="spellStart"/>
      <w:r w:rsidRPr="0066515B">
        <w:rPr>
          <w:rFonts w:ascii="Cambria" w:hAnsi="Cambria" w:cs="Times New Roman"/>
          <w:sz w:val="22"/>
          <w:szCs w:val="22"/>
        </w:rPr>
        <w:t>diperlukan</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asupan</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zat</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gizi</w:t>
      </w:r>
      <w:proofErr w:type="spellEnd"/>
      <w:r w:rsidRPr="0066515B">
        <w:rPr>
          <w:rFonts w:ascii="Cambria" w:hAnsi="Cambria" w:cs="Times New Roman"/>
          <w:sz w:val="22"/>
          <w:szCs w:val="22"/>
        </w:rPr>
        <w:t xml:space="preserve"> </w:t>
      </w:r>
      <w:proofErr w:type="spellStart"/>
      <w:r w:rsidRPr="0066515B">
        <w:rPr>
          <w:rFonts w:ascii="Cambria" w:hAnsi="Cambria" w:cs="Times New Roman"/>
          <w:sz w:val="22"/>
          <w:szCs w:val="22"/>
        </w:rPr>
        <w:t>mikro</w:t>
      </w:r>
      <w:proofErr w:type="spellEnd"/>
      <w:r w:rsidRPr="0066515B">
        <w:rPr>
          <w:rFonts w:ascii="Cambria" w:hAnsi="Cambria" w:cs="Times New Roman"/>
          <w:sz w:val="22"/>
          <w:szCs w:val="22"/>
        </w:rPr>
        <w:t xml:space="preserve"> (vitamin dan mineral), dan </w:t>
      </w:r>
      <w:proofErr w:type="spellStart"/>
      <w:r w:rsidRPr="0066515B">
        <w:rPr>
          <w:rFonts w:ascii="Cambria" w:hAnsi="Cambria" w:cs="Times New Roman"/>
          <w:sz w:val="22"/>
          <w:szCs w:val="22"/>
        </w:rPr>
        <w:t>antioksidan</w:t>
      </w:r>
      <w:proofErr w:type="spellEnd"/>
      <w:r w:rsidRPr="0066515B">
        <w:rPr>
          <w:rFonts w:ascii="Cambria" w:hAnsi="Cambria" w:cs="Times New Roman"/>
          <w:sz w:val="22"/>
          <w:szCs w:val="22"/>
        </w:rPr>
        <w:t xml:space="preserve">. </w:t>
      </w:r>
    </w:p>
    <w:p w14:paraId="02F60C45" w14:textId="4DA4121E" w:rsidR="00AE6C57" w:rsidRPr="00AE6C57" w:rsidRDefault="00AE6C57" w:rsidP="0066515B">
      <w:pPr>
        <w:pStyle w:val="Default"/>
        <w:ind w:firstLine="720"/>
        <w:jc w:val="both"/>
        <w:rPr>
          <w:rFonts w:ascii="Cambria" w:hAnsi="Cambria" w:cs="Times New Roman"/>
          <w:sz w:val="22"/>
          <w:szCs w:val="22"/>
        </w:rPr>
      </w:pPr>
      <w:r w:rsidRPr="00AE6C57">
        <w:rPr>
          <w:rFonts w:ascii="Cambria" w:hAnsi="Cambria" w:cs="Times New Roman"/>
          <w:sz w:val="22"/>
          <w:szCs w:val="22"/>
        </w:rPr>
        <w:t xml:space="preserve">Saat </w:t>
      </w:r>
      <w:proofErr w:type="spellStart"/>
      <w:r w:rsidRPr="00AE6C57">
        <w:rPr>
          <w:rFonts w:ascii="Cambria" w:hAnsi="Cambria" w:cs="Times New Roman"/>
          <w:sz w:val="22"/>
          <w:szCs w:val="22"/>
        </w:rPr>
        <w:t>ini</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konsumen</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semakin</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banyak</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memilih</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produk</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makanan</w:t>
      </w:r>
      <w:proofErr w:type="spellEnd"/>
      <w:r w:rsidRPr="00AE6C57">
        <w:rPr>
          <w:rFonts w:ascii="Cambria" w:hAnsi="Cambria" w:cs="Times New Roman"/>
          <w:sz w:val="22"/>
          <w:szCs w:val="22"/>
        </w:rPr>
        <w:t xml:space="preserve"> yang </w:t>
      </w:r>
      <w:proofErr w:type="spellStart"/>
      <w:r w:rsidRPr="00AE6C57">
        <w:rPr>
          <w:rFonts w:ascii="Cambria" w:hAnsi="Cambria" w:cs="Times New Roman"/>
          <w:sz w:val="22"/>
          <w:szCs w:val="22"/>
        </w:rPr>
        <w:t>diformulasikan</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dengan</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bahan</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tambahan</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alami</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karena</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pemahaman</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tentang</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hubungan</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antara</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kesehatan</w:t>
      </w:r>
      <w:proofErr w:type="spellEnd"/>
      <w:r w:rsidRPr="00AE6C57">
        <w:rPr>
          <w:rFonts w:ascii="Cambria" w:hAnsi="Cambria" w:cs="Times New Roman"/>
          <w:sz w:val="22"/>
          <w:szCs w:val="22"/>
        </w:rPr>
        <w:t xml:space="preserve"> dan </w:t>
      </w:r>
      <w:proofErr w:type="spellStart"/>
      <w:r w:rsidRPr="00AE6C57">
        <w:rPr>
          <w:rFonts w:ascii="Cambria" w:hAnsi="Cambria" w:cs="Times New Roman"/>
          <w:sz w:val="22"/>
          <w:szCs w:val="22"/>
        </w:rPr>
        <w:t>pola</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makan</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Makanan</w:t>
      </w:r>
      <w:proofErr w:type="spellEnd"/>
      <w:r w:rsidRPr="00AE6C57">
        <w:rPr>
          <w:rFonts w:ascii="Cambria" w:hAnsi="Cambria" w:cs="Times New Roman"/>
          <w:sz w:val="22"/>
          <w:szCs w:val="22"/>
        </w:rPr>
        <w:t xml:space="preserve"> yang kaya </w:t>
      </w:r>
      <w:proofErr w:type="spellStart"/>
      <w:r w:rsidRPr="00AE6C57">
        <w:rPr>
          <w:rFonts w:ascii="Cambria" w:hAnsi="Cambria" w:cs="Times New Roman"/>
          <w:sz w:val="22"/>
          <w:szCs w:val="22"/>
        </w:rPr>
        <w:t>senyawa</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bioaktif</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bermanfaat</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karena</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meningkatkan</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sistem</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kekebalan</w:t>
      </w:r>
      <w:proofErr w:type="spellEnd"/>
      <w:r w:rsidRPr="00AE6C57">
        <w:rPr>
          <w:rFonts w:ascii="Cambria" w:hAnsi="Cambria" w:cs="Times New Roman"/>
          <w:sz w:val="22"/>
          <w:szCs w:val="22"/>
        </w:rPr>
        <w:t xml:space="preserve"> dan </w:t>
      </w:r>
      <w:proofErr w:type="spellStart"/>
      <w:r w:rsidRPr="00AE6C57">
        <w:rPr>
          <w:rFonts w:ascii="Cambria" w:hAnsi="Cambria" w:cs="Times New Roman"/>
          <w:sz w:val="22"/>
          <w:szCs w:val="22"/>
        </w:rPr>
        <w:t>polifenol</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alami</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telah</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menunjukkan</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sifat</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sebagai</w:t>
      </w:r>
      <w:proofErr w:type="spellEnd"/>
      <w:r w:rsidRPr="00AE6C57">
        <w:rPr>
          <w:rFonts w:ascii="Cambria" w:hAnsi="Cambria" w:cs="Times New Roman"/>
          <w:sz w:val="22"/>
          <w:szCs w:val="22"/>
        </w:rPr>
        <w:t xml:space="preserve"> </w:t>
      </w:r>
      <w:proofErr w:type="spellStart"/>
      <w:r w:rsidRPr="00AE6C57">
        <w:rPr>
          <w:rFonts w:ascii="Cambria" w:hAnsi="Cambria" w:cs="Times New Roman"/>
          <w:sz w:val="22"/>
          <w:szCs w:val="22"/>
        </w:rPr>
        <w:t>penghambat</w:t>
      </w:r>
      <w:proofErr w:type="spellEnd"/>
      <w:r w:rsidRPr="00AE6C57">
        <w:rPr>
          <w:rFonts w:ascii="Cambria" w:hAnsi="Cambria" w:cs="Times New Roman"/>
          <w:sz w:val="22"/>
          <w:szCs w:val="22"/>
        </w:rPr>
        <w:t xml:space="preserve"> protease </w:t>
      </w:r>
      <w:proofErr w:type="spellStart"/>
      <w:r w:rsidRPr="00AE6C57">
        <w:rPr>
          <w:rFonts w:ascii="Cambria" w:hAnsi="Cambria" w:cs="Times New Roman"/>
          <w:sz w:val="22"/>
          <w:szCs w:val="22"/>
        </w:rPr>
        <w:t>utama</w:t>
      </w:r>
      <w:proofErr w:type="spellEnd"/>
      <w:r w:rsidRPr="00AE6C57">
        <w:rPr>
          <w:rFonts w:ascii="Cambria" w:hAnsi="Cambria" w:cs="Times New Roman"/>
          <w:sz w:val="22"/>
          <w:szCs w:val="22"/>
        </w:rPr>
        <w:t xml:space="preserve"> COVID-19 </w:t>
      </w:r>
      <w:commentRangeStart w:id="15"/>
      <w:r w:rsidR="00BC18A1">
        <w:rPr>
          <w:rFonts w:ascii="Cambria" w:hAnsi="Cambria" w:cs="Times New Roman"/>
          <w:sz w:val="22"/>
          <w:szCs w:val="22"/>
          <w:highlight w:val="yellow"/>
        </w:rPr>
        <w:fldChar w:fldCharType="begin" w:fldLock="1"/>
      </w:r>
      <w:r w:rsidR="00943445">
        <w:rPr>
          <w:rFonts w:ascii="Cambria" w:hAnsi="Cambria" w:cs="Times New Roman"/>
          <w:sz w:val="22"/>
          <w:szCs w:val="22"/>
          <w:highlight w:val="yellow"/>
        </w:rPr>
        <w:instrText>ADDIN CSL_CITATION {"citationItems":[{"id":"ITEM-1","itemData":{"DOI":"doi:10.3390/foods9040523","author":[{"dropping-particle":"","family":"Galanakis CM","given":"","non-dropping-particle":"","parse-names":false,"suffix":""}],"container-title":"Foods","id":"ITEM-1","issue":"523","issued":{"date-parts":[["2020"]]},"page":"1-10","title":"The Food Systems in the Era of the Coronavirus (COVID-19) Pandemic Crisis","type":"article-journal","volume":"9"},"uris":["http://www.mendeley.com/documents/?uuid=f480fd3f-fbe9-4a33-8854-b9c8154ebe5f"]}],"mendeley":{"formattedCitation":"(Galanakis CM, 2020)","manualFormatting":"(Galanakis, 2020)","plainTextFormattedCitation":"(Galanakis CM, 2020)","previouslyFormattedCitation":"(Galanakis CM, 2020)"},"properties":{"noteIndex":0},"schema":"https://github.com/citation-style-language/schema/raw/master/csl-citation.json"}</w:instrText>
      </w:r>
      <w:r w:rsidR="00BC18A1">
        <w:rPr>
          <w:rFonts w:ascii="Cambria" w:hAnsi="Cambria" w:cs="Times New Roman"/>
          <w:sz w:val="22"/>
          <w:szCs w:val="22"/>
          <w:highlight w:val="yellow"/>
        </w:rPr>
        <w:fldChar w:fldCharType="separate"/>
      </w:r>
      <w:r w:rsidR="000669BD" w:rsidRPr="000669BD">
        <w:rPr>
          <w:rFonts w:ascii="Cambria" w:hAnsi="Cambria" w:cs="Times New Roman"/>
          <w:noProof/>
          <w:sz w:val="22"/>
          <w:szCs w:val="22"/>
        </w:rPr>
        <w:t>(Galanakis, 2020)</w:t>
      </w:r>
      <w:r w:rsidR="00BC18A1">
        <w:rPr>
          <w:rFonts w:ascii="Cambria" w:hAnsi="Cambria" w:cs="Times New Roman"/>
          <w:sz w:val="22"/>
          <w:szCs w:val="22"/>
          <w:highlight w:val="yellow"/>
        </w:rPr>
        <w:fldChar w:fldCharType="end"/>
      </w:r>
      <w:commentRangeEnd w:id="15"/>
      <w:r w:rsidR="005259FA">
        <w:rPr>
          <w:rStyle w:val="CommentReference"/>
          <w:rFonts w:ascii="Calibri" w:eastAsia="Calibri" w:hAnsi="Calibri" w:cs="Calibri"/>
          <w:color w:val="auto"/>
          <w:lang w:eastAsia="en-ID"/>
        </w:rPr>
        <w:commentReference w:id="15"/>
      </w:r>
    </w:p>
    <w:p w14:paraId="72B6204C" w14:textId="3D3AD9C2" w:rsidR="00D95178" w:rsidRPr="00AE6C57" w:rsidRDefault="00AE6C57" w:rsidP="00AE6C57">
      <w:pPr>
        <w:pStyle w:val="Default"/>
        <w:ind w:firstLine="720"/>
        <w:jc w:val="both"/>
        <w:rPr>
          <w:rFonts w:ascii="Cambria" w:hAnsi="Cambria" w:cs="Times New Roman"/>
          <w:sz w:val="22"/>
          <w:szCs w:val="22"/>
        </w:rPr>
      </w:pPr>
      <w:proofErr w:type="spellStart"/>
      <w:r>
        <w:rPr>
          <w:rFonts w:ascii="Cambria" w:hAnsi="Cambria" w:cs="Times New Roman"/>
          <w:sz w:val="22"/>
          <w:szCs w:val="22"/>
        </w:rPr>
        <w:t>K</w:t>
      </w:r>
      <w:r w:rsidR="0066515B" w:rsidRPr="0066515B">
        <w:rPr>
          <w:rFonts w:ascii="Cambria" w:hAnsi="Cambria" w:cs="Times New Roman"/>
          <w:sz w:val="22"/>
          <w:szCs w:val="22"/>
        </w:rPr>
        <w:t>andungan</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bioaktif</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dari</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tanaman</w:t>
      </w:r>
      <w:proofErr w:type="spellEnd"/>
      <w:r w:rsidR="0066515B" w:rsidRPr="0066515B">
        <w:rPr>
          <w:rFonts w:ascii="Cambria" w:hAnsi="Cambria" w:cs="Times New Roman"/>
          <w:sz w:val="22"/>
          <w:szCs w:val="22"/>
        </w:rPr>
        <w:t xml:space="preserve"> juga </w:t>
      </w:r>
      <w:proofErr w:type="spellStart"/>
      <w:r w:rsidR="0066515B" w:rsidRPr="0066515B">
        <w:rPr>
          <w:rFonts w:ascii="Cambria" w:hAnsi="Cambria" w:cs="Times New Roman"/>
          <w:sz w:val="22"/>
          <w:szCs w:val="22"/>
        </w:rPr>
        <w:t>memiliki</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peran</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dalam</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memodulasi</w:t>
      </w:r>
      <w:proofErr w:type="spellEnd"/>
      <w:r w:rsidR="0066515B" w:rsidRPr="0066515B">
        <w:rPr>
          <w:rFonts w:ascii="Cambria" w:hAnsi="Cambria" w:cs="Times New Roman"/>
          <w:sz w:val="22"/>
          <w:szCs w:val="22"/>
        </w:rPr>
        <w:t xml:space="preserve"> system </w:t>
      </w:r>
      <w:proofErr w:type="spellStart"/>
      <w:r w:rsidR="0066515B" w:rsidRPr="0066515B">
        <w:rPr>
          <w:rFonts w:ascii="Cambria" w:hAnsi="Cambria" w:cs="Times New Roman"/>
          <w:sz w:val="22"/>
          <w:szCs w:val="22"/>
        </w:rPr>
        <w:t>kekebalan</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tubuh</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Kandungan</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bioaktif</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tanaman</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memiliki</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potensi</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sebagai</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nutrasetikal</w:t>
      </w:r>
      <w:proofErr w:type="spellEnd"/>
      <w:r w:rsidR="0066515B" w:rsidRPr="0066515B">
        <w:rPr>
          <w:rFonts w:ascii="Cambria" w:hAnsi="Cambria" w:cs="Times New Roman"/>
          <w:sz w:val="22"/>
          <w:szCs w:val="22"/>
        </w:rPr>
        <w:t xml:space="preserve">. Salah </w:t>
      </w:r>
      <w:proofErr w:type="spellStart"/>
      <w:r w:rsidR="0066515B" w:rsidRPr="0066515B">
        <w:rPr>
          <w:rFonts w:ascii="Cambria" w:hAnsi="Cambria" w:cs="Times New Roman"/>
          <w:sz w:val="22"/>
          <w:szCs w:val="22"/>
        </w:rPr>
        <w:t>satu</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nutrasetikal</w:t>
      </w:r>
      <w:proofErr w:type="spellEnd"/>
      <w:r w:rsidR="0066515B" w:rsidRPr="0066515B">
        <w:rPr>
          <w:rFonts w:ascii="Cambria" w:hAnsi="Cambria" w:cs="Times New Roman"/>
          <w:sz w:val="22"/>
          <w:szCs w:val="22"/>
        </w:rPr>
        <w:t xml:space="preserve"> yang </w:t>
      </w:r>
      <w:proofErr w:type="spellStart"/>
      <w:r w:rsidR="0066515B" w:rsidRPr="0066515B">
        <w:rPr>
          <w:rFonts w:ascii="Cambria" w:hAnsi="Cambria" w:cs="Times New Roman"/>
          <w:sz w:val="22"/>
          <w:szCs w:val="22"/>
        </w:rPr>
        <w:t>menjadi</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ciri</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khas</w:t>
      </w:r>
      <w:proofErr w:type="spellEnd"/>
      <w:r w:rsidR="0066515B" w:rsidRPr="0066515B">
        <w:rPr>
          <w:rFonts w:ascii="Cambria" w:hAnsi="Cambria" w:cs="Times New Roman"/>
          <w:sz w:val="22"/>
          <w:szCs w:val="22"/>
        </w:rPr>
        <w:t xml:space="preserve"> Indonesia </w:t>
      </w:r>
      <w:proofErr w:type="spellStart"/>
      <w:r w:rsidR="0066515B" w:rsidRPr="0066515B">
        <w:rPr>
          <w:rFonts w:ascii="Cambria" w:hAnsi="Cambria" w:cs="Times New Roman"/>
          <w:sz w:val="22"/>
          <w:szCs w:val="22"/>
        </w:rPr>
        <w:t>adalah</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jamu</w:t>
      </w:r>
      <w:proofErr w:type="spellEnd"/>
      <w:r w:rsidR="0066515B" w:rsidRPr="0066515B">
        <w:rPr>
          <w:rFonts w:ascii="Cambria" w:hAnsi="Cambria" w:cs="Times New Roman"/>
          <w:sz w:val="22"/>
          <w:szCs w:val="22"/>
        </w:rPr>
        <w:t xml:space="preserve">. Salah </w:t>
      </w:r>
      <w:proofErr w:type="spellStart"/>
      <w:r w:rsidR="0066515B" w:rsidRPr="0066515B">
        <w:rPr>
          <w:rFonts w:ascii="Cambria" w:hAnsi="Cambria" w:cs="Times New Roman"/>
          <w:sz w:val="22"/>
          <w:szCs w:val="22"/>
        </w:rPr>
        <w:t>satu</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bentuk</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sediaan</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jamu</w:t>
      </w:r>
      <w:proofErr w:type="spellEnd"/>
      <w:r w:rsidR="0066515B" w:rsidRPr="0066515B">
        <w:rPr>
          <w:rFonts w:ascii="Cambria" w:hAnsi="Cambria" w:cs="Times New Roman"/>
          <w:sz w:val="22"/>
          <w:szCs w:val="22"/>
        </w:rPr>
        <w:t xml:space="preserve"> yang </w:t>
      </w:r>
      <w:proofErr w:type="spellStart"/>
      <w:r w:rsidR="0066515B" w:rsidRPr="0066515B">
        <w:rPr>
          <w:rFonts w:ascii="Cambria" w:hAnsi="Cambria" w:cs="Times New Roman"/>
          <w:sz w:val="22"/>
          <w:szCs w:val="22"/>
        </w:rPr>
        <w:t>mudah</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disukai</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semua</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kalangan</w:t>
      </w:r>
      <w:proofErr w:type="spellEnd"/>
      <w:r w:rsidR="0066515B" w:rsidRPr="0066515B">
        <w:rPr>
          <w:rFonts w:ascii="Cambria" w:hAnsi="Cambria" w:cs="Times New Roman"/>
          <w:sz w:val="22"/>
          <w:szCs w:val="22"/>
        </w:rPr>
        <w:t xml:space="preserve"> dan </w:t>
      </w:r>
      <w:proofErr w:type="spellStart"/>
      <w:r w:rsidR="0066515B" w:rsidRPr="0066515B">
        <w:rPr>
          <w:rFonts w:ascii="Cambria" w:hAnsi="Cambria" w:cs="Times New Roman"/>
          <w:sz w:val="22"/>
          <w:szCs w:val="22"/>
        </w:rPr>
        <w:t>semua</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kelompok</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usia</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adalah</w:t>
      </w:r>
      <w:proofErr w:type="spellEnd"/>
      <w:r w:rsidR="0066515B" w:rsidRPr="0066515B">
        <w:rPr>
          <w:rFonts w:ascii="Cambria" w:hAnsi="Cambria" w:cs="Times New Roman"/>
          <w:sz w:val="22"/>
          <w:szCs w:val="22"/>
        </w:rPr>
        <w:t xml:space="preserve"> </w:t>
      </w:r>
      <w:proofErr w:type="spellStart"/>
      <w:r w:rsidR="0066515B" w:rsidRPr="0066515B">
        <w:rPr>
          <w:rFonts w:ascii="Cambria" w:hAnsi="Cambria" w:cs="Times New Roman"/>
          <w:sz w:val="22"/>
          <w:szCs w:val="22"/>
        </w:rPr>
        <w:t>biskuit</w:t>
      </w:r>
      <w:proofErr w:type="spellEnd"/>
      <w:r w:rsidR="0066515B" w:rsidRPr="0066515B">
        <w:rPr>
          <w:rFonts w:ascii="Cambria" w:hAnsi="Cambria" w:cs="Times New Roman"/>
          <w:sz w:val="22"/>
          <w:szCs w:val="22"/>
        </w:rPr>
        <w:t>.</w:t>
      </w:r>
    </w:p>
    <w:p w14:paraId="7584B4E5" w14:textId="77777777" w:rsidR="00D95178" w:rsidRDefault="00D95178" w:rsidP="0066515B">
      <w:pPr>
        <w:pStyle w:val="Default"/>
        <w:ind w:firstLine="720"/>
        <w:jc w:val="both"/>
        <w:rPr>
          <w:rFonts w:ascii="Cambria" w:hAnsi="Cambria" w:cs="Times New Roman"/>
          <w:b/>
          <w:bCs/>
          <w:sz w:val="22"/>
          <w:szCs w:val="22"/>
        </w:rPr>
      </w:pPr>
    </w:p>
    <w:p w14:paraId="73A5D4F0" w14:textId="6E5A5D00" w:rsidR="005A0D1F" w:rsidRPr="00F03C4C" w:rsidRDefault="00543DD6" w:rsidP="00F03C4C">
      <w:pPr>
        <w:pStyle w:val="Default"/>
        <w:rPr>
          <w:rFonts w:ascii="Cambria" w:hAnsi="Cambria" w:cs="Times New Roman"/>
          <w:sz w:val="22"/>
          <w:szCs w:val="22"/>
        </w:rPr>
      </w:pPr>
      <w:r>
        <w:rPr>
          <w:rFonts w:ascii="Cambria" w:hAnsi="Cambria" w:cs="Times New Roman"/>
          <w:b/>
          <w:bCs/>
          <w:sz w:val="22"/>
          <w:szCs w:val="22"/>
        </w:rPr>
        <w:t xml:space="preserve">Daya </w:t>
      </w:r>
      <w:proofErr w:type="spellStart"/>
      <w:r>
        <w:rPr>
          <w:rFonts w:ascii="Cambria" w:hAnsi="Cambria" w:cs="Times New Roman"/>
          <w:b/>
          <w:bCs/>
          <w:sz w:val="22"/>
          <w:szCs w:val="22"/>
        </w:rPr>
        <w:t>Terima</w:t>
      </w:r>
      <w:proofErr w:type="spellEnd"/>
      <w:r>
        <w:rPr>
          <w:rFonts w:ascii="Cambria" w:hAnsi="Cambria" w:cs="Times New Roman"/>
          <w:b/>
          <w:bCs/>
          <w:sz w:val="22"/>
          <w:szCs w:val="22"/>
        </w:rPr>
        <w:t xml:space="preserve"> </w:t>
      </w:r>
      <w:proofErr w:type="spellStart"/>
      <w:r>
        <w:rPr>
          <w:rFonts w:ascii="Cambria" w:hAnsi="Cambria" w:cs="Times New Roman"/>
          <w:b/>
          <w:bCs/>
          <w:sz w:val="22"/>
          <w:szCs w:val="22"/>
        </w:rPr>
        <w:t>Biskuit</w:t>
      </w:r>
      <w:proofErr w:type="spellEnd"/>
    </w:p>
    <w:p w14:paraId="27AE786C" w14:textId="2A57F339" w:rsidR="005A0D1F" w:rsidRPr="00F03C4C" w:rsidRDefault="00543DD6" w:rsidP="00D95178">
      <w:pPr>
        <w:pStyle w:val="Default"/>
        <w:ind w:firstLine="720"/>
        <w:jc w:val="both"/>
        <w:rPr>
          <w:rFonts w:ascii="Cambria" w:hAnsi="Cambria" w:cs="Times New Roman"/>
          <w:sz w:val="22"/>
          <w:szCs w:val="22"/>
        </w:rPr>
      </w:pPr>
      <w:proofErr w:type="spellStart"/>
      <w:r>
        <w:rPr>
          <w:rFonts w:ascii="Cambria" w:hAnsi="Cambria" w:cs="Times New Roman"/>
          <w:sz w:val="22"/>
          <w:szCs w:val="22"/>
        </w:rPr>
        <w:t>Penentuan</w:t>
      </w:r>
      <w:proofErr w:type="spellEnd"/>
      <w:r>
        <w:rPr>
          <w:rFonts w:ascii="Cambria" w:hAnsi="Cambria" w:cs="Times New Roman"/>
          <w:sz w:val="22"/>
          <w:szCs w:val="22"/>
        </w:rPr>
        <w:t xml:space="preserve"> f</w:t>
      </w:r>
      <w:r w:rsidR="005A0D1F" w:rsidRPr="00F03C4C">
        <w:rPr>
          <w:rFonts w:ascii="Cambria" w:hAnsi="Cambria" w:cs="Times New Roman"/>
          <w:sz w:val="22"/>
          <w:szCs w:val="22"/>
        </w:rPr>
        <w:t xml:space="preserve">ormula </w:t>
      </w:r>
      <w:proofErr w:type="spellStart"/>
      <w:r w:rsidR="005A0D1F" w:rsidRPr="00F03C4C">
        <w:rPr>
          <w:rFonts w:ascii="Cambria" w:hAnsi="Cambria" w:cs="Times New Roman"/>
          <w:sz w:val="22"/>
          <w:szCs w:val="22"/>
        </w:rPr>
        <w:t>terpilih</w:t>
      </w:r>
      <w:proofErr w:type="spellEnd"/>
      <w:r>
        <w:rPr>
          <w:rFonts w:ascii="Cambria" w:hAnsi="Cambria" w:cs="Times New Roman"/>
          <w:sz w:val="22"/>
          <w:szCs w:val="22"/>
        </w:rPr>
        <w:t xml:space="preserve"> </w:t>
      </w:r>
      <w:proofErr w:type="spellStart"/>
      <w:r>
        <w:rPr>
          <w:rFonts w:ascii="Cambria" w:hAnsi="Cambria" w:cs="Times New Roman"/>
          <w:sz w:val="22"/>
          <w:szCs w:val="22"/>
        </w:rPr>
        <w:t>dilakukan</w:t>
      </w:r>
      <w:proofErr w:type="spellEnd"/>
      <w:r w:rsidR="005A0D1F" w:rsidRPr="00F03C4C">
        <w:rPr>
          <w:rFonts w:ascii="Cambria" w:hAnsi="Cambria" w:cs="Times New Roman"/>
          <w:sz w:val="22"/>
          <w:szCs w:val="22"/>
        </w:rPr>
        <w:t xml:space="preserve"> </w:t>
      </w:r>
      <w:proofErr w:type="spellStart"/>
      <w:r w:rsidR="005A0D1F" w:rsidRPr="00F03C4C">
        <w:rPr>
          <w:rFonts w:ascii="Cambria" w:hAnsi="Cambria" w:cs="Times New Roman"/>
          <w:sz w:val="22"/>
          <w:szCs w:val="22"/>
        </w:rPr>
        <w:t>dengan</w:t>
      </w:r>
      <w:proofErr w:type="spellEnd"/>
      <w:r w:rsidR="005A0D1F" w:rsidRPr="00F03C4C">
        <w:rPr>
          <w:rFonts w:ascii="Cambria" w:hAnsi="Cambria" w:cs="Times New Roman"/>
          <w:sz w:val="22"/>
          <w:szCs w:val="22"/>
        </w:rPr>
        <w:t xml:space="preserve"> </w:t>
      </w:r>
      <w:proofErr w:type="spellStart"/>
      <w:r>
        <w:rPr>
          <w:rFonts w:ascii="Cambria" w:hAnsi="Cambria" w:cs="Times New Roman"/>
          <w:sz w:val="22"/>
          <w:szCs w:val="22"/>
        </w:rPr>
        <w:t>menganalisis</w:t>
      </w:r>
      <w:proofErr w:type="spellEnd"/>
      <w:r w:rsidR="005A0D1F" w:rsidRPr="00F03C4C">
        <w:rPr>
          <w:rFonts w:ascii="Cambria" w:hAnsi="Cambria" w:cs="Times New Roman"/>
          <w:sz w:val="22"/>
          <w:szCs w:val="22"/>
        </w:rPr>
        <w:t xml:space="preserve"> </w:t>
      </w:r>
      <w:proofErr w:type="spellStart"/>
      <w:r w:rsidR="005A0D1F" w:rsidRPr="00F03C4C">
        <w:rPr>
          <w:rFonts w:ascii="Cambria" w:hAnsi="Cambria" w:cs="Times New Roman"/>
          <w:sz w:val="22"/>
          <w:szCs w:val="22"/>
        </w:rPr>
        <w:t>tingkat</w:t>
      </w:r>
      <w:proofErr w:type="spellEnd"/>
      <w:r w:rsidR="005A0D1F" w:rsidRPr="00F03C4C">
        <w:rPr>
          <w:rFonts w:ascii="Cambria" w:hAnsi="Cambria" w:cs="Times New Roman"/>
          <w:sz w:val="22"/>
          <w:szCs w:val="22"/>
        </w:rPr>
        <w:t xml:space="preserve"> </w:t>
      </w:r>
      <w:proofErr w:type="spellStart"/>
      <w:r w:rsidR="005A0D1F" w:rsidRPr="00F03C4C">
        <w:rPr>
          <w:rFonts w:ascii="Cambria" w:hAnsi="Cambria" w:cs="Times New Roman"/>
          <w:sz w:val="22"/>
          <w:szCs w:val="22"/>
        </w:rPr>
        <w:t>kesukaan</w:t>
      </w:r>
      <w:proofErr w:type="spellEnd"/>
      <w:r w:rsidR="005A0D1F" w:rsidRPr="00F03C4C">
        <w:rPr>
          <w:rFonts w:ascii="Cambria" w:hAnsi="Cambria" w:cs="Times New Roman"/>
          <w:sz w:val="22"/>
          <w:szCs w:val="22"/>
        </w:rPr>
        <w:t xml:space="preserve"> </w:t>
      </w:r>
      <w:proofErr w:type="spellStart"/>
      <w:r w:rsidR="005A0D1F" w:rsidRPr="00F03C4C">
        <w:rPr>
          <w:rFonts w:ascii="Cambria" w:hAnsi="Cambria" w:cs="Times New Roman"/>
          <w:sz w:val="22"/>
          <w:szCs w:val="22"/>
        </w:rPr>
        <w:t>panelis</w:t>
      </w:r>
      <w:proofErr w:type="spellEnd"/>
      <w:r w:rsidR="005A0D1F" w:rsidRPr="00F03C4C">
        <w:rPr>
          <w:rFonts w:ascii="Cambria" w:hAnsi="Cambria" w:cs="Times New Roman"/>
          <w:sz w:val="22"/>
          <w:szCs w:val="22"/>
        </w:rPr>
        <w:t xml:space="preserve">. Tabel 2 </w:t>
      </w:r>
      <w:proofErr w:type="spellStart"/>
      <w:r w:rsidR="005A0D1F" w:rsidRPr="00F03C4C">
        <w:rPr>
          <w:rFonts w:ascii="Cambria" w:hAnsi="Cambria" w:cs="Times New Roman"/>
          <w:sz w:val="22"/>
          <w:szCs w:val="22"/>
        </w:rPr>
        <w:t>menunjukkan</w:t>
      </w:r>
      <w:proofErr w:type="spellEnd"/>
      <w:r w:rsidR="005A0D1F" w:rsidRPr="00F03C4C">
        <w:rPr>
          <w:rFonts w:ascii="Cambria" w:hAnsi="Cambria" w:cs="Times New Roman"/>
          <w:sz w:val="22"/>
          <w:szCs w:val="22"/>
        </w:rPr>
        <w:t xml:space="preserve"> </w:t>
      </w:r>
      <w:proofErr w:type="spellStart"/>
      <w:r w:rsidR="005A0D1F" w:rsidRPr="00F03C4C">
        <w:rPr>
          <w:rFonts w:ascii="Cambria" w:hAnsi="Cambria" w:cs="Times New Roman"/>
          <w:sz w:val="22"/>
          <w:szCs w:val="22"/>
        </w:rPr>
        <w:t>nilai</w:t>
      </w:r>
      <w:proofErr w:type="spellEnd"/>
      <w:r w:rsidR="005A0D1F" w:rsidRPr="00F03C4C">
        <w:rPr>
          <w:rFonts w:ascii="Cambria" w:hAnsi="Cambria" w:cs="Times New Roman"/>
          <w:sz w:val="22"/>
          <w:szCs w:val="22"/>
        </w:rPr>
        <w:t xml:space="preserve"> rata-rata </w:t>
      </w:r>
      <w:r>
        <w:rPr>
          <w:rFonts w:ascii="Cambria" w:hAnsi="Cambria" w:cs="Times New Roman"/>
          <w:sz w:val="22"/>
          <w:szCs w:val="22"/>
        </w:rPr>
        <w:t xml:space="preserve">yang </w:t>
      </w:r>
      <w:proofErr w:type="spellStart"/>
      <w:r>
        <w:rPr>
          <w:rFonts w:ascii="Cambria" w:hAnsi="Cambria" w:cs="Times New Roman"/>
          <w:sz w:val="22"/>
          <w:szCs w:val="22"/>
        </w:rPr>
        <w:t>diberikan</w:t>
      </w:r>
      <w:proofErr w:type="spellEnd"/>
      <w:r>
        <w:rPr>
          <w:rFonts w:ascii="Cambria" w:hAnsi="Cambria" w:cs="Times New Roman"/>
          <w:sz w:val="22"/>
          <w:szCs w:val="22"/>
        </w:rPr>
        <w:t xml:space="preserve"> </w:t>
      </w:r>
      <w:proofErr w:type="spellStart"/>
      <w:r>
        <w:rPr>
          <w:rFonts w:ascii="Cambria" w:hAnsi="Cambria" w:cs="Times New Roman"/>
          <w:sz w:val="22"/>
          <w:szCs w:val="22"/>
        </w:rPr>
        <w:t>panelis</w:t>
      </w:r>
      <w:proofErr w:type="spellEnd"/>
      <w:r>
        <w:rPr>
          <w:rFonts w:ascii="Cambria" w:hAnsi="Cambria" w:cs="Times New Roman"/>
          <w:sz w:val="22"/>
          <w:szCs w:val="22"/>
        </w:rPr>
        <w:t xml:space="preserve"> </w:t>
      </w:r>
      <w:proofErr w:type="spellStart"/>
      <w:r>
        <w:rPr>
          <w:rFonts w:ascii="Cambria" w:hAnsi="Cambria" w:cs="Times New Roman"/>
          <w:sz w:val="22"/>
          <w:szCs w:val="22"/>
        </w:rPr>
        <w:t>saat</w:t>
      </w:r>
      <w:proofErr w:type="spellEnd"/>
      <w:r>
        <w:rPr>
          <w:rFonts w:ascii="Cambria" w:hAnsi="Cambria" w:cs="Times New Roman"/>
          <w:sz w:val="22"/>
          <w:szCs w:val="22"/>
        </w:rPr>
        <w:t xml:space="preserve"> </w:t>
      </w:r>
      <w:proofErr w:type="spellStart"/>
      <w:r>
        <w:rPr>
          <w:rFonts w:ascii="Cambria" w:hAnsi="Cambria" w:cs="Times New Roman"/>
          <w:sz w:val="22"/>
          <w:szCs w:val="22"/>
        </w:rPr>
        <w:t>melakukan</w:t>
      </w:r>
      <w:proofErr w:type="spellEnd"/>
      <w:r>
        <w:rPr>
          <w:rFonts w:ascii="Cambria" w:hAnsi="Cambria" w:cs="Times New Roman"/>
          <w:sz w:val="22"/>
          <w:szCs w:val="22"/>
        </w:rPr>
        <w:t xml:space="preserve"> </w:t>
      </w:r>
      <w:r w:rsidR="005A0D1F" w:rsidRPr="00F03C4C">
        <w:rPr>
          <w:rFonts w:ascii="Cambria" w:hAnsi="Cambria" w:cs="Times New Roman"/>
          <w:sz w:val="22"/>
          <w:szCs w:val="22"/>
        </w:rPr>
        <w:t xml:space="preserve">uji </w:t>
      </w:r>
      <w:proofErr w:type="spellStart"/>
      <w:r>
        <w:rPr>
          <w:rFonts w:ascii="Cambria" w:hAnsi="Cambria" w:cs="Times New Roman"/>
          <w:sz w:val="22"/>
          <w:szCs w:val="22"/>
        </w:rPr>
        <w:t>hedonik</w:t>
      </w:r>
      <w:proofErr w:type="spellEnd"/>
      <w:r>
        <w:rPr>
          <w:rFonts w:ascii="Cambria" w:hAnsi="Cambria" w:cs="Times New Roman"/>
          <w:sz w:val="22"/>
          <w:szCs w:val="22"/>
        </w:rPr>
        <w:t xml:space="preserve"> pada lima </w:t>
      </w:r>
      <w:proofErr w:type="spellStart"/>
      <w:r>
        <w:rPr>
          <w:rFonts w:ascii="Cambria" w:hAnsi="Cambria" w:cs="Times New Roman"/>
          <w:sz w:val="22"/>
          <w:szCs w:val="22"/>
        </w:rPr>
        <w:t>jenis</w:t>
      </w:r>
      <w:proofErr w:type="spellEnd"/>
      <w:r>
        <w:rPr>
          <w:rFonts w:ascii="Cambria" w:hAnsi="Cambria" w:cs="Times New Roman"/>
          <w:sz w:val="22"/>
          <w:szCs w:val="22"/>
        </w:rPr>
        <w:t xml:space="preserve"> formula biscuit </w:t>
      </w:r>
      <w:proofErr w:type="spellStart"/>
      <w:r>
        <w:rPr>
          <w:rFonts w:ascii="Cambria" w:hAnsi="Cambria" w:cs="Times New Roman"/>
          <w:sz w:val="22"/>
          <w:szCs w:val="22"/>
        </w:rPr>
        <w:t>rempah</w:t>
      </w:r>
      <w:proofErr w:type="spellEnd"/>
      <w:r>
        <w:rPr>
          <w:rFonts w:ascii="Cambria" w:hAnsi="Cambria" w:cs="Times New Roman"/>
          <w:sz w:val="22"/>
          <w:szCs w:val="22"/>
        </w:rPr>
        <w:t>.</w:t>
      </w:r>
    </w:p>
    <w:p w14:paraId="37A397DF" w14:textId="77777777" w:rsidR="004B19A3" w:rsidRDefault="004B19A3" w:rsidP="00F03C4C">
      <w:pPr>
        <w:spacing w:after="0" w:line="240" w:lineRule="auto"/>
        <w:rPr>
          <w:rFonts w:ascii="Cambria" w:hAnsi="Cambria" w:cs="Times New Roman"/>
        </w:rPr>
      </w:pPr>
    </w:p>
    <w:p w14:paraId="3C1F45D2" w14:textId="77777777" w:rsidR="00DA177B" w:rsidRDefault="00DA177B" w:rsidP="00F03C4C">
      <w:pPr>
        <w:spacing w:after="0" w:line="240" w:lineRule="auto"/>
        <w:rPr>
          <w:rFonts w:ascii="Cambria" w:hAnsi="Cambria" w:cs="Times New Roman"/>
        </w:rPr>
      </w:pPr>
    </w:p>
    <w:p w14:paraId="51D051F0" w14:textId="77777777" w:rsidR="00DA177B" w:rsidRDefault="00DA177B" w:rsidP="00F03C4C">
      <w:pPr>
        <w:spacing w:after="0" w:line="240" w:lineRule="auto"/>
        <w:rPr>
          <w:rFonts w:ascii="Cambria" w:hAnsi="Cambria" w:cs="Times New Roman"/>
        </w:rPr>
      </w:pPr>
    </w:p>
    <w:p w14:paraId="34098EBF" w14:textId="77777777" w:rsidR="00DA177B" w:rsidRDefault="00DA177B" w:rsidP="00F03C4C">
      <w:pPr>
        <w:spacing w:after="0" w:line="240" w:lineRule="auto"/>
        <w:rPr>
          <w:rFonts w:ascii="Cambria" w:hAnsi="Cambria" w:cs="Times New Roman"/>
        </w:rPr>
      </w:pPr>
    </w:p>
    <w:p w14:paraId="7D58EB65" w14:textId="77777777" w:rsidR="00DA177B" w:rsidRDefault="00DA177B" w:rsidP="00F03C4C">
      <w:pPr>
        <w:spacing w:after="0" w:line="240" w:lineRule="auto"/>
        <w:rPr>
          <w:rFonts w:ascii="Cambria" w:hAnsi="Cambria" w:cs="Times New Roman"/>
        </w:rPr>
      </w:pPr>
    </w:p>
    <w:p w14:paraId="6B4E8652" w14:textId="6DB61538" w:rsidR="005A0D1F" w:rsidRPr="00F03C4C" w:rsidRDefault="005A0D1F" w:rsidP="00F03C4C">
      <w:pPr>
        <w:spacing w:after="0" w:line="240" w:lineRule="auto"/>
        <w:rPr>
          <w:rFonts w:ascii="Cambria" w:hAnsi="Cambria" w:cs="Times New Roman"/>
        </w:rPr>
      </w:pPr>
      <w:r w:rsidRPr="00F03C4C">
        <w:rPr>
          <w:rFonts w:ascii="Cambria" w:hAnsi="Cambria" w:cs="Times New Roman"/>
        </w:rPr>
        <w:t xml:space="preserve">Tabel 2. </w:t>
      </w:r>
      <w:r w:rsidR="00543DD6">
        <w:rPr>
          <w:rFonts w:ascii="Cambria" w:hAnsi="Cambria" w:cs="Times New Roman"/>
        </w:rPr>
        <w:t xml:space="preserve">Rata-rata </w:t>
      </w:r>
      <w:proofErr w:type="spellStart"/>
      <w:r w:rsidR="00543DD6">
        <w:rPr>
          <w:rFonts w:ascii="Cambria" w:hAnsi="Cambria" w:cs="Times New Roman"/>
        </w:rPr>
        <w:t>nila</w:t>
      </w:r>
      <w:r w:rsidR="00B170C0">
        <w:rPr>
          <w:rFonts w:ascii="Cambria" w:hAnsi="Cambria" w:cs="Times New Roman"/>
        </w:rPr>
        <w:t>i</w:t>
      </w:r>
      <w:proofErr w:type="spellEnd"/>
      <w:r w:rsidR="00543DD6">
        <w:rPr>
          <w:rFonts w:ascii="Cambria" w:hAnsi="Cambria" w:cs="Times New Roman"/>
        </w:rPr>
        <w:t xml:space="preserve"> </w:t>
      </w:r>
      <w:proofErr w:type="spellStart"/>
      <w:r w:rsidR="00543DD6">
        <w:rPr>
          <w:rFonts w:ascii="Cambria" w:hAnsi="Cambria" w:cs="Times New Roman"/>
        </w:rPr>
        <w:t>daya</w:t>
      </w:r>
      <w:proofErr w:type="spellEnd"/>
      <w:r w:rsidR="00543DD6">
        <w:rPr>
          <w:rFonts w:ascii="Cambria" w:hAnsi="Cambria" w:cs="Times New Roman"/>
        </w:rPr>
        <w:t xml:space="preserve"> </w:t>
      </w:r>
      <w:proofErr w:type="spellStart"/>
      <w:r w:rsidR="00543DD6">
        <w:rPr>
          <w:rFonts w:ascii="Cambria" w:hAnsi="Cambria" w:cs="Times New Roman"/>
        </w:rPr>
        <w:t>terima</w:t>
      </w:r>
      <w:proofErr w:type="spellEnd"/>
      <w:r w:rsidR="00543DD6">
        <w:rPr>
          <w:rFonts w:ascii="Cambria" w:hAnsi="Cambria" w:cs="Times New Roman"/>
        </w:rPr>
        <w:t xml:space="preserve"> </w:t>
      </w:r>
      <w:proofErr w:type="spellStart"/>
      <w:r w:rsidR="00543DD6">
        <w:rPr>
          <w:rFonts w:ascii="Cambria" w:hAnsi="Cambria" w:cs="Times New Roman"/>
        </w:rPr>
        <w:t>atribut</w:t>
      </w:r>
      <w:proofErr w:type="spellEnd"/>
      <w:r w:rsidR="00543DD6">
        <w:rPr>
          <w:rFonts w:ascii="Cambria" w:hAnsi="Cambria" w:cs="Times New Roman"/>
        </w:rPr>
        <w:t xml:space="preserve"> </w:t>
      </w:r>
      <w:proofErr w:type="spellStart"/>
      <w:r w:rsidR="00543DD6">
        <w:rPr>
          <w:rFonts w:ascii="Cambria" w:hAnsi="Cambria" w:cs="Times New Roman"/>
        </w:rPr>
        <w:t>sensori</w:t>
      </w:r>
      <w:proofErr w:type="spellEnd"/>
      <w:r w:rsidR="00543DD6">
        <w:rPr>
          <w:rFonts w:ascii="Cambria" w:hAnsi="Cambria" w:cs="Times New Roman"/>
        </w:rPr>
        <w:t xml:space="preserve"> </w:t>
      </w:r>
      <w:commentRangeStart w:id="16"/>
      <w:proofErr w:type="spellStart"/>
      <w:r w:rsidR="00543DD6">
        <w:rPr>
          <w:rFonts w:ascii="Cambria" w:hAnsi="Cambria" w:cs="Times New Roman"/>
        </w:rPr>
        <w:t>biskuit</w:t>
      </w:r>
      <w:commentRangeEnd w:id="16"/>
      <w:proofErr w:type="spellEnd"/>
      <w:r w:rsidR="005259FA">
        <w:rPr>
          <w:rStyle w:val="CommentReference"/>
        </w:rPr>
        <w:commentReference w:id="16"/>
      </w:r>
    </w:p>
    <w:tbl>
      <w:tblPr>
        <w:tblW w:w="4581" w:type="dxa"/>
        <w:tblBorders>
          <w:top w:val="single" w:sz="4" w:space="0" w:color="auto"/>
          <w:bottom w:val="single" w:sz="4" w:space="0" w:color="auto"/>
        </w:tblBorders>
        <w:tblLook w:val="04A0" w:firstRow="1" w:lastRow="0" w:firstColumn="1" w:lastColumn="0" w:noHBand="0" w:noVBand="1"/>
      </w:tblPr>
      <w:tblGrid>
        <w:gridCol w:w="854"/>
        <w:gridCol w:w="720"/>
        <w:gridCol w:w="724"/>
        <w:gridCol w:w="816"/>
        <w:gridCol w:w="805"/>
        <w:gridCol w:w="662"/>
      </w:tblGrid>
      <w:tr w:rsidR="005A0D1F" w:rsidRPr="00F03C4C" w14:paraId="69CD4074" w14:textId="77777777" w:rsidTr="00FE7A42">
        <w:trPr>
          <w:trHeight w:val="261"/>
        </w:trPr>
        <w:tc>
          <w:tcPr>
            <w:tcW w:w="854" w:type="dxa"/>
            <w:vMerge w:val="restart"/>
            <w:tcBorders>
              <w:top w:val="single" w:sz="4" w:space="0" w:color="auto"/>
              <w:bottom w:val="nil"/>
            </w:tcBorders>
            <w:shd w:val="clear" w:color="auto" w:fill="auto"/>
            <w:noWrap/>
            <w:vAlign w:val="bottom"/>
          </w:tcPr>
          <w:p w14:paraId="3E83F5BE"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Formula</w:t>
            </w:r>
          </w:p>
        </w:tc>
        <w:tc>
          <w:tcPr>
            <w:tcW w:w="3727" w:type="dxa"/>
            <w:gridSpan w:val="5"/>
            <w:tcBorders>
              <w:top w:val="single" w:sz="4" w:space="0" w:color="auto"/>
              <w:bottom w:val="single" w:sz="4" w:space="0" w:color="auto"/>
            </w:tcBorders>
            <w:shd w:val="clear" w:color="auto" w:fill="auto"/>
            <w:noWrap/>
            <w:vAlign w:val="bottom"/>
          </w:tcPr>
          <w:p w14:paraId="677760E6" w14:textId="04C356B8" w:rsidR="005A0D1F" w:rsidRPr="00F03C4C" w:rsidRDefault="005A0D1F" w:rsidP="00F03C4C">
            <w:pPr>
              <w:spacing w:after="0" w:line="240" w:lineRule="auto"/>
              <w:jc w:val="center"/>
              <w:rPr>
                <w:rFonts w:ascii="Cambria" w:eastAsia="Times New Roman" w:hAnsi="Cambria" w:cs="Times New Roman"/>
                <w:color w:val="000000"/>
                <w:sz w:val="16"/>
                <w:szCs w:val="16"/>
              </w:rPr>
            </w:pPr>
            <w:proofErr w:type="spellStart"/>
            <w:r w:rsidRPr="00F03C4C">
              <w:rPr>
                <w:rFonts w:ascii="Cambria" w:eastAsia="Times New Roman" w:hAnsi="Cambria" w:cs="Times New Roman"/>
                <w:color w:val="000000"/>
                <w:sz w:val="16"/>
                <w:szCs w:val="16"/>
              </w:rPr>
              <w:t>Rataan</w:t>
            </w:r>
            <w:proofErr w:type="spellEnd"/>
            <w:r w:rsidRPr="00F03C4C">
              <w:rPr>
                <w:rFonts w:ascii="Cambria" w:eastAsia="Times New Roman" w:hAnsi="Cambria" w:cs="Times New Roman"/>
                <w:color w:val="000000"/>
                <w:sz w:val="16"/>
                <w:szCs w:val="16"/>
              </w:rPr>
              <w:t xml:space="preserve"> </w:t>
            </w:r>
            <w:proofErr w:type="spellStart"/>
            <w:r w:rsidR="009C7997">
              <w:rPr>
                <w:rFonts w:ascii="Cambria" w:eastAsia="Times New Roman" w:hAnsi="Cambria" w:cs="Times New Roman"/>
                <w:color w:val="000000"/>
                <w:sz w:val="16"/>
                <w:szCs w:val="16"/>
              </w:rPr>
              <w:t>nilai</w:t>
            </w:r>
            <w:proofErr w:type="spellEnd"/>
          </w:p>
        </w:tc>
      </w:tr>
      <w:tr w:rsidR="00F03C4C" w:rsidRPr="00F03C4C" w14:paraId="1D56597D" w14:textId="77777777" w:rsidTr="00FE7A42">
        <w:trPr>
          <w:trHeight w:val="261"/>
        </w:trPr>
        <w:tc>
          <w:tcPr>
            <w:tcW w:w="854" w:type="dxa"/>
            <w:vMerge/>
            <w:tcBorders>
              <w:top w:val="nil"/>
              <w:bottom w:val="single" w:sz="4" w:space="0" w:color="auto"/>
            </w:tcBorders>
            <w:shd w:val="clear" w:color="auto" w:fill="auto"/>
            <w:noWrap/>
            <w:vAlign w:val="bottom"/>
          </w:tcPr>
          <w:p w14:paraId="022E875F" w14:textId="77777777" w:rsidR="005A0D1F" w:rsidRPr="00F03C4C" w:rsidRDefault="005A0D1F" w:rsidP="00F03C4C">
            <w:pPr>
              <w:spacing w:after="0" w:line="240" w:lineRule="auto"/>
              <w:rPr>
                <w:rFonts w:ascii="Cambria" w:eastAsia="Times New Roman" w:hAnsi="Cambria" w:cs="Times New Roman"/>
                <w:color w:val="000000"/>
                <w:sz w:val="16"/>
                <w:szCs w:val="16"/>
              </w:rPr>
            </w:pPr>
          </w:p>
        </w:tc>
        <w:tc>
          <w:tcPr>
            <w:tcW w:w="720" w:type="dxa"/>
            <w:tcBorders>
              <w:top w:val="single" w:sz="4" w:space="0" w:color="auto"/>
              <w:bottom w:val="single" w:sz="4" w:space="0" w:color="auto"/>
            </w:tcBorders>
            <w:shd w:val="clear" w:color="auto" w:fill="auto"/>
            <w:noWrap/>
            <w:vAlign w:val="bottom"/>
          </w:tcPr>
          <w:p w14:paraId="4E0C0A33"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Warna</w:t>
            </w:r>
          </w:p>
        </w:tc>
        <w:tc>
          <w:tcPr>
            <w:tcW w:w="724" w:type="dxa"/>
            <w:tcBorders>
              <w:top w:val="single" w:sz="4" w:space="0" w:color="auto"/>
              <w:bottom w:val="single" w:sz="4" w:space="0" w:color="auto"/>
            </w:tcBorders>
            <w:shd w:val="clear" w:color="auto" w:fill="auto"/>
            <w:noWrap/>
            <w:vAlign w:val="bottom"/>
          </w:tcPr>
          <w:p w14:paraId="3EF01355"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Aroma</w:t>
            </w:r>
          </w:p>
        </w:tc>
        <w:tc>
          <w:tcPr>
            <w:tcW w:w="816" w:type="dxa"/>
            <w:tcBorders>
              <w:top w:val="single" w:sz="4" w:space="0" w:color="auto"/>
              <w:bottom w:val="single" w:sz="4" w:space="0" w:color="auto"/>
            </w:tcBorders>
            <w:shd w:val="clear" w:color="auto" w:fill="auto"/>
            <w:noWrap/>
            <w:vAlign w:val="bottom"/>
          </w:tcPr>
          <w:p w14:paraId="1B227554"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Rasa</w:t>
            </w:r>
          </w:p>
        </w:tc>
        <w:tc>
          <w:tcPr>
            <w:tcW w:w="805" w:type="dxa"/>
            <w:tcBorders>
              <w:top w:val="single" w:sz="4" w:space="0" w:color="auto"/>
              <w:bottom w:val="single" w:sz="4" w:space="0" w:color="auto"/>
            </w:tcBorders>
            <w:shd w:val="clear" w:color="auto" w:fill="auto"/>
            <w:noWrap/>
            <w:vAlign w:val="bottom"/>
          </w:tcPr>
          <w:p w14:paraId="13FBDC01" w14:textId="77777777" w:rsidR="005A0D1F" w:rsidRPr="00F03C4C" w:rsidRDefault="005A0D1F" w:rsidP="00F03C4C">
            <w:pPr>
              <w:spacing w:after="0" w:line="240" w:lineRule="auto"/>
              <w:rPr>
                <w:rFonts w:ascii="Cambria" w:eastAsia="Times New Roman" w:hAnsi="Cambria" w:cs="Times New Roman"/>
                <w:color w:val="000000"/>
                <w:sz w:val="16"/>
                <w:szCs w:val="16"/>
              </w:rPr>
            </w:pPr>
            <w:proofErr w:type="spellStart"/>
            <w:r w:rsidRPr="00F03C4C">
              <w:rPr>
                <w:rFonts w:ascii="Cambria" w:eastAsia="Times New Roman" w:hAnsi="Cambria" w:cs="Times New Roman"/>
                <w:color w:val="000000"/>
                <w:sz w:val="16"/>
                <w:szCs w:val="16"/>
              </w:rPr>
              <w:t>Tekstur</w:t>
            </w:r>
            <w:proofErr w:type="spellEnd"/>
          </w:p>
        </w:tc>
        <w:tc>
          <w:tcPr>
            <w:tcW w:w="662" w:type="dxa"/>
            <w:tcBorders>
              <w:top w:val="single" w:sz="4" w:space="0" w:color="auto"/>
              <w:bottom w:val="single" w:sz="4" w:space="0" w:color="auto"/>
            </w:tcBorders>
            <w:shd w:val="clear" w:color="auto" w:fill="auto"/>
            <w:noWrap/>
            <w:vAlign w:val="bottom"/>
          </w:tcPr>
          <w:p w14:paraId="4033C697"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AT</w:t>
            </w:r>
          </w:p>
        </w:tc>
      </w:tr>
      <w:tr w:rsidR="00F03C4C" w:rsidRPr="00F03C4C" w14:paraId="41E792C4" w14:textId="77777777" w:rsidTr="00FE7A42">
        <w:trPr>
          <w:trHeight w:val="261"/>
        </w:trPr>
        <w:tc>
          <w:tcPr>
            <w:tcW w:w="854" w:type="dxa"/>
            <w:tcBorders>
              <w:top w:val="single" w:sz="4" w:space="0" w:color="auto"/>
            </w:tcBorders>
            <w:shd w:val="clear" w:color="auto" w:fill="auto"/>
            <w:noWrap/>
            <w:vAlign w:val="bottom"/>
            <w:hideMark/>
          </w:tcPr>
          <w:p w14:paraId="14B3C098" w14:textId="77777777" w:rsidR="005A0D1F" w:rsidRPr="00F03C4C" w:rsidRDefault="005A0D1F" w:rsidP="00F03C4C">
            <w:pPr>
              <w:spacing w:after="0" w:line="240" w:lineRule="auto"/>
              <w:rPr>
                <w:rFonts w:ascii="Cambria" w:eastAsia="Times New Roman" w:hAnsi="Cambria" w:cs="Times New Roman"/>
                <w:color w:val="000000"/>
                <w:sz w:val="16"/>
                <w:szCs w:val="16"/>
              </w:rPr>
            </w:pPr>
            <w:proofErr w:type="spellStart"/>
            <w:r w:rsidRPr="00F03C4C">
              <w:rPr>
                <w:rFonts w:ascii="Cambria" w:eastAsia="Times New Roman" w:hAnsi="Cambria" w:cs="Times New Roman"/>
                <w:color w:val="000000"/>
                <w:sz w:val="16"/>
                <w:szCs w:val="16"/>
              </w:rPr>
              <w:t>Kontrol</w:t>
            </w:r>
            <w:proofErr w:type="spellEnd"/>
          </w:p>
        </w:tc>
        <w:tc>
          <w:tcPr>
            <w:tcW w:w="720" w:type="dxa"/>
            <w:tcBorders>
              <w:top w:val="single" w:sz="4" w:space="0" w:color="auto"/>
            </w:tcBorders>
            <w:shd w:val="clear" w:color="auto" w:fill="auto"/>
            <w:noWrap/>
            <w:vAlign w:val="bottom"/>
            <w:hideMark/>
          </w:tcPr>
          <w:p w14:paraId="4EF032D4"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2.60</w:t>
            </w:r>
            <w:r w:rsidRPr="00F03C4C">
              <w:rPr>
                <w:rFonts w:ascii="Cambria" w:eastAsia="Times New Roman" w:hAnsi="Cambria" w:cs="Times New Roman"/>
                <w:color w:val="000000"/>
                <w:sz w:val="16"/>
                <w:szCs w:val="16"/>
                <w:vertAlign w:val="superscript"/>
              </w:rPr>
              <w:t>a</w:t>
            </w:r>
          </w:p>
        </w:tc>
        <w:tc>
          <w:tcPr>
            <w:tcW w:w="724" w:type="dxa"/>
            <w:tcBorders>
              <w:top w:val="single" w:sz="4" w:space="0" w:color="auto"/>
            </w:tcBorders>
            <w:shd w:val="clear" w:color="auto" w:fill="auto"/>
            <w:noWrap/>
            <w:vAlign w:val="bottom"/>
            <w:hideMark/>
          </w:tcPr>
          <w:p w14:paraId="6FDABDEA"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2.93</w:t>
            </w:r>
            <w:r w:rsidRPr="00F03C4C">
              <w:rPr>
                <w:rFonts w:ascii="Cambria" w:eastAsia="Times New Roman" w:hAnsi="Cambria" w:cs="Times New Roman"/>
                <w:color w:val="000000"/>
                <w:sz w:val="16"/>
                <w:szCs w:val="16"/>
                <w:vertAlign w:val="superscript"/>
              </w:rPr>
              <w:t>a</w:t>
            </w:r>
          </w:p>
        </w:tc>
        <w:tc>
          <w:tcPr>
            <w:tcW w:w="816" w:type="dxa"/>
            <w:tcBorders>
              <w:top w:val="single" w:sz="4" w:space="0" w:color="auto"/>
            </w:tcBorders>
            <w:shd w:val="clear" w:color="auto" w:fill="auto"/>
            <w:noWrap/>
            <w:vAlign w:val="bottom"/>
            <w:hideMark/>
          </w:tcPr>
          <w:p w14:paraId="35B49E1D"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3.23</w:t>
            </w:r>
            <w:r w:rsidRPr="00F03C4C">
              <w:rPr>
                <w:rFonts w:ascii="Cambria" w:eastAsia="Times New Roman" w:hAnsi="Cambria" w:cs="Times New Roman"/>
                <w:color w:val="000000"/>
                <w:sz w:val="16"/>
                <w:szCs w:val="16"/>
                <w:vertAlign w:val="superscript"/>
              </w:rPr>
              <w:t>b</w:t>
            </w:r>
          </w:p>
        </w:tc>
        <w:tc>
          <w:tcPr>
            <w:tcW w:w="805" w:type="dxa"/>
            <w:tcBorders>
              <w:top w:val="single" w:sz="4" w:space="0" w:color="auto"/>
            </w:tcBorders>
            <w:shd w:val="clear" w:color="auto" w:fill="auto"/>
            <w:noWrap/>
            <w:vAlign w:val="bottom"/>
            <w:hideMark/>
          </w:tcPr>
          <w:p w14:paraId="6D228BC9"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3.57</w:t>
            </w:r>
            <w:r w:rsidRPr="00F03C4C">
              <w:rPr>
                <w:rFonts w:ascii="Cambria" w:eastAsia="Times New Roman" w:hAnsi="Cambria" w:cs="Times New Roman"/>
                <w:color w:val="000000"/>
                <w:sz w:val="16"/>
                <w:szCs w:val="16"/>
                <w:vertAlign w:val="superscript"/>
              </w:rPr>
              <w:t>ab</w:t>
            </w:r>
          </w:p>
        </w:tc>
        <w:tc>
          <w:tcPr>
            <w:tcW w:w="662" w:type="dxa"/>
            <w:tcBorders>
              <w:top w:val="single" w:sz="4" w:space="0" w:color="auto"/>
            </w:tcBorders>
            <w:shd w:val="clear" w:color="auto" w:fill="auto"/>
            <w:noWrap/>
            <w:vAlign w:val="bottom"/>
            <w:hideMark/>
          </w:tcPr>
          <w:p w14:paraId="61598246"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3.30</w:t>
            </w:r>
            <w:r w:rsidRPr="00F03C4C">
              <w:rPr>
                <w:rFonts w:ascii="Cambria" w:eastAsia="Times New Roman" w:hAnsi="Cambria" w:cs="Times New Roman"/>
                <w:color w:val="000000"/>
                <w:sz w:val="16"/>
                <w:szCs w:val="16"/>
                <w:vertAlign w:val="superscript"/>
              </w:rPr>
              <w:t>b</w:t>
            </w:r>
          </w:p>
        </w:tc>
      </w:tr>
      <w:tr w:rsidR="00F03C4C" w:rsidRPr="00F03C4C" w14:paraId="4B1DBCE6" w14:textId="77777777" w:rsidTr="00FE7A42">
        <w:trPr>
          <w:trHeight w:val="261"/>
        </w:trPr>
        <w:tc>
          <w:tcPr>
            <w:tcW w:w="854" w:type="dxa"/>
            <w:shd w:val="clear" w:color="auto" w:fill="auto"/>
            <w:noWrap/>
            <w:vAlign w:val="bottom"/>
            <w:hideMark/>
          </w:tcPr>
          <w:p w14:paraId="6BF65326"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F1</w:t>
            </w:r>
          </w:p>
        </w:tc>
        <w:tc>
          <w:tcPr>
            <w:tcW w:w="720" w:type="dxa"/>
            <w:shd w:val="clear" w:color="auto" w:fill="auto"/>
            <w:noWrap/>
            <w:vAlign w:val="bottom"/>
            <w:hideMark/>
          </w:tcPr>
          <w:p w14:paraId="63E0D2DC"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3.37</w:t>
            </w:r>
            <w:r w:rsidRPr="00F03C4C">
              <w:rPr>
                <w:rFonts w:ascii="Cambria" w:eastAsia="Times New Roman" w:hAnsi="Cambria" w:cs="Times New Roman"/>
                <w:color w:val="000000"/>
                <w:sz w:val="16"/>
                <w:szCs w:val="16"/>
                <w:vertAlign w:val="superscript"/>
              </w:rPr>
              <w:t>b</w:t>
            </w:r>
          </w:p>
        </w:tc>
        <w:tc>
          <w:tcPr>
            <w:tcW w:w="724" w:type="dxa"/>
            <w:shd w:val="clear" w:color="auto" w:fill="auto"/>
            <w:noWrap/>
            <w:vAlign w:val="bottom"/>
            <w:hideMark/>
          </w:tcPr>
          <w:p w14:paraId="43063E14"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3.23</w:t>
            </w:r>
            <w:r w:rsidRPr="00F03C4C">
              <w:rPr>
                <w:rFonts w:ascii="Cambria" w:eastAsia="Times New Roman" w:hAnsi="Cambria" w:cs="Times New Roman"/>
                <w:color w:val="000000"/>
                <w:sz w:val="16"/>
                <w:szCs w:val="16"/>
                <w:vertAlign w:val="superscript"/>
              </w:rPr>
              <w:t>a</w:t>
            </w:r>
          </w:p>
        </w:tc>
        <w:tc>
          <w:tcPr>
            <w:tcW w:w="816" w:type="dxa"/>
            <w:shd w:val="clear" w:color="auto" w:fill="auto"/>
            <w:noWrap/>
            <w:vAlign w:val="bottom"/>
            <w:hideMark/>
          </w:tcPr>
          <w:p w14:paraId="61885E47"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3.23</w:t>
            </w:r>
            <w:r w:rsidRPr="00F03C4C">
              <w:rPr>
                <w:rFonts w:ascii="Cambria" w:eastAsia="Times New Roman" w:hAnsi="Cambria" w:cs="Times New Roman"/>
                <w:color w:val="000000"/>
                <w:sz w:val="16"/>
                <w:szCs w:val="16"/>
                <w:vertAlign w:val="superscript"/>
              </w:rPr>
              <w:t>b</w:t>
            </w:r>
          </w:p>
        </w:tc>
        <w:tc>
          <w:tcPr>
            <w:tcW w:w="805" w:type="dxa"/>
            <w:shd w:val="clear" w:color="auto" w:fill="auto"/>
            <w:noWrap/>
            <w:vAlign w:val="bottom"/>
            <w:hideMark/>
          </w:tcPr>
          <w:p w14:paraId="4795C1E7"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3.90</w:t>
            </w:r>
            <w:r w:rsidRPr="00F03C4C">
              <w:rPr>
                <w:rFonts w:ascii="Cambria" w:eastAsia="Times New Roman" w:hAnsi="Cambria" w:cs="Times New Roman"/>
                <w:color w:val="000000"/>
                <w:sz w:val="16"/>
                <w:szCs w:val="16"/>
                <w:vertAlign w:val="superscript"/>
              </w:rPr>
              <w:t>c</w:t>
            </w:r>
          </w:p>
        </w:tc>
        <w:tc>
          <w:tcPr>
            <w:tcW w:w="662" w:type="dxa"/>
            <w:shd w:val="clear" w:color="auto" w:fill="auto"/>
            <w:noWrap/>
            <w:vAlign w:val="bottom"/>
            <w:hideMark/>
          </w:tcPr>
          <w:p w14:paraId="573C9B46"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3.17</w:t>
            </w:r>
            <w:r w:rsidRPr="00F03C4C">
              <w:rPr>
                <w:rFonts w:ascii="Cambria" w:eastAsia="Times New Roman" w:hAnsi="Cambria" w:cs="Times New Roman"/>
                <w:color w:val="000000"/>
                <w:sz w:val="16"/>
                <w:szCs w:val="16"/>
                <w:vertAlign w:val="superscript"/>
              </w:rPr>
              <w:t>b</w:t>
            </w:r>
          </w:p>
        </w:tc>
      </w:tr>
      <w:tr w:rsidR="00F03C4C" w:rsidRPr="00F03C4C" w14:paraId="65AC1AD7" w14:textId="77777777" w:rsidTr="00FE7A42">
        <w:trPr>
          <w:trHeight w:val="261"/>
        </w:trPr>
        <w:tc>
          <w:tcPr>
            <w:tcW w:w="854" w:type="dxa"/>
            <w:shd w:val="clear" w:color="auto" w:fill="auto"/>
            <w:noWrap/>
            <w:vAlign w:val="bottom"/>
            <w:hideMark/>
          </w:tcPr>
          <w:p w14:paraId="4EE48FAE"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F2</w:t>
            </w:r>
          </w:p>
        </w:tc>
        <w:tc>
          <w:tcPr>
            <w:tcW w:w="720" w:type="dxa"/>
            <w:shd w:val="clear" w:color="auto" w:fill="auto"/>
            <w:noWrap/>
            <w:vAlign w:val="bottom"/>
            <w:hideMark/>
          </w:tcPr>
          <w:p w14:paraId="3168F508"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3.73</w:t>
            </w:r>
            <w:r w:rsidRPr="00F03C4C">
              <w:rPr>
                <w:rFonts w:ascii="Cambria" w:eastAsia="Times New Roman" w:hAnsi="Cambria" w:cs="Times New Roman"/>
                <w:color w:val="000000"/>
                <w:sz w:val="16"/>
                <w:szCs w:val="16"/>
                <w:vertAlign w:val="superscript"/>
              </w:rPr>
              <w:t>b</w:t>
            </w:r>
          </w:p>
        </w:tc>
        <w:tc>
          <w:tcPr>
            <w:tcW w:w="724" w:type="dxa"/>
            <w:shd w:val="clear" w:color="auto" w:fill="auto"/>
            <w:noWrap/>
            <w:vAlign w:val="bottom"/>
            <w:hideMark/>
          </w:tcPr>
          <w:p w14:paraId="228D002F"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3.23</w:t>
            </w:r>
            <w:r w:rsidRPr="00F03C4C">
              <w:rPr>
                <w:rFonts w:ascii="Cambria" w:eastAsia="Times New Roman" w:hAnsi="Cambria" w:cs="Times New Roman"/>
                <w:color w:val="000000"/>
                <w:sz w:val="16"/>
                <w:szCs w:val="16"/>
                <w:vertAlign w:val="superscript"/>
              </w:rPr>
              <w:t>a</w:t>
            </w:r>
          </w:p>
        </w:tc>
        <w:tc>
          <w:tcPr>
            <w:tcW w:w="816" w:type="dxa"/>
            <w:shd w:val="clear" w:color="auto" w:fill="auto"/>
            <w:noWrap/>
            <w:vAlign w:val="bottom"/>
            <w:hideMark/>
          </w:tcPr>
          <w:p w14:paraId="164CE178"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3.13</w:t>
            </w:r>
            <w:r w:rsidRPr="00F03C4C">
              <w:rPr>
                <w:rFonts w:ascii="Cambria" w:eastAsia="Times New Roman" w:hAnsi="Cambria" w:cs="Times New Roman"/>
                <w:color w:val="000000"/>
                <w:sz w:val="16"/>
                <w:szCs w:val="16"/>
                <w:vertAlign w:val="superscript"/>
              </w:rPr>
              <w:t>ab</w:t>
            </w:r>
          </w:p>
        </w:tc>
        <w:tc>
          <w:tcPr>
            <w:tcW w:w="805" w:type="dxa"/>
            <w:shd w:val="clear" w:color="auto" w:fill="auto"/>
            <w:noWrap/>
            <w:vAlign w:val="bottom"/>
            <w:hideMark/>
          </w:tcPr>
          <w:p w14:paraId="1E727CA2"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3.67</w:t>
            </w:r>
            <w:r w:rsidRPr="00F03C4C">
              <w:rPr>
                <w:rFonts w:ascii="Cambria" w:eastAsia="Times New Roman" w:hAnsi="Cambria" w:cs="Times New Roman"/>
                <w:color w:val="000000"/>
                <w:sz w:val="16"/>
                <w:szCs w:val="16"/>
                <w:vertAlign w:val="superscript"/>
              </w:rPr>
              <w:t>bc</w:t>
            </w:r>
          </w:p>
        </w:tc>
        <w:tc>
          <w:tcPr>
            <w:tcW w:w="662" w:type="dxa"/>
            <w:shd w:val="clear" w:color="auto" w:fill="auto"/>
            <w:noWrap/>
            <w:vAlign w:val="bottom"/>
            <w:hideMark/>
          </w:tcPr>
          <w:p w14:paraId="292403A2"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3.07</w:t>
            </w:r>
            <w:r w:rsidRPr="00F03C4C">
              <w:rPr>
                <w:rFonts w:ascii="Cambria" w:eastAsia="Times New Roman" w:hAnsi="Cambria" w:cs="Times New Roman"/>
                <w:color w:val="000000"/>
                <w:sz w:val="16"/>
                <w:szCs w:val="16"/>
                <w:vertAlign w:val="superscript"/>
              </w:rPr>
              <w:t>ab</w:t>
            </w:r>
          </w:p>
        </w:tc>
      </w:tr>
      <w:tr w:rsidR="00F03C4C" w:rsidRPr="00F03C4C" w14:paraId="28799EBC" w14:textId="77777777" w:rsidTr="00FE7A42">
        <w:trPr>
          <w:trHeight w:val="261"/>
        </w:trPr>
        <w:tc>
          <w:tcPr>
            <w:tcW w:w="854" w:type="dxa"/>
            <w:shd w:val="clear" w:color="auto" w:fill="auto"/>
            <w:noWrap/>
            <w:vAlign w:val="bottom"/>
            <w:hideMark/>
          </w:tcPr>
          <w:p w14:paraId="168EA4C4"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F3</w:t>
            </w:r>
          </w:p>
        </w:tc>
        <w:tc>
          <w:tcPr>
            <w:tcW w:w="720" w:type="dxa"/>
            <w:shd w:val="clear" w:color="auto" w:fill="auto"/>
            <w:noWrap/>
            <w:vAlign w:val="bottom"/>
            <w:hideMark/>
          </w:tcPr>
          <w:p w14:paraId="7953B3F0"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3.60</w:t>
            </w:r>
            <w:r w:rsidRPr="00F03C4C">
              <w:rPr>
                <w:rFonts w:ascii="Cambria" w:eastAsia="Times New Roman" w:hAnsi="Cambria" w:cs="Times New Roman"/>
                <w:color w:val="000000"/>
                <w:sz w:val="16"/>
                <w:szCs w:val="16"/>
                <w:vertAlign w:val="superscript"/>
              </w:rPr>
              <w:t>b</w:t>
            </w:r>
          </w:p>
        </w:tc>
        <w:tc>
          <w:tcPr>
            <w:tcW w:w="724" w:type="dxa"/>
            <w:shd w:val="clear" w:color="auto" w:fill="auto"/>
            <w:noWrap/>
            <w:vAlign w:val="bottom"/>
            <w:hideMark/>
          </w:tcPr>
          <w:p w14:paraId="1B2AFBFF"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3.30</w:t>
            </w:r>
            <w:r w:rsidRPr="00F03C4C">
              <w:rPr>
                <w:rFonts w:ascii="Cambria" w:eastAsia="Times New Roman" w:hAnsi="Cambria" w:cs="Times New Roman"/>
                <w:color w:val="000000"/>
                <w:sz w:val="16"/>
                <w:szCs w:val="16"/>
                <w:vertAlign w:val="superscript"/>
              </w:rPr>
              <w:t>a</w:t>
            </w:r>
          </w:p>
        </w:tc>
        <w:tc>
          <w:tcPr>
            <w:tcW w:w="816" w:type="dxa"/>
            <w:shd w:val="clear" w:color="auto" w:fill="auto"/>
            <w:noWrap/>
            <w:vAlign w:val="bottom"/>
            <w:hideMark/>
          </w:tcPr>
          <w:p w14:paraId="5B121836"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2.70</w:t>
            </w:r>
            <w:r w:rsidRPr="00F03C4C">
              <w:rPr>
                <w:rFonts w:ascii="Cambria" w:eastAsia="Times New Roman" w:hAnsi="Cambria" w:cs="Times New Roman"/>
                <w:color w:val="000000"/>
                <w:sz w:val="16"/>
                <w:szCs w:val="16"/>
                <w:vertAlign w:val="superscript"/>
              </w:rPr>
              <w:t>a</w:t>
            </w:r>
          </w:p>
        </w:tc>
        <w:tc>
          <w:tcPr>
            <w:tcW w:w="805" w:type="dxa"/>
            <w:shd w:val="clear" w:color="auto" w:fill="auto"/>
            <w:noWrap/>
            <w:vAlign w:val="bottom"/>
            <w:hideMark/>
          </w:tcPr>
          <w:p w14:paraId="6037C0C2"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3.47</w:t>
            </w:r>
            <w:r w:rsidRPr="00F03C4C">
              <w:rPr>
                <w:rFonts w:ascii="Cambria" w:eastAsia="Times New Roman" w:hAnsi="Cambria" w:cs="Times New Roman"/>
                <w:color w:val="000000"/>
                <w:sz w:val="16"/>
                <w:szCs w:val="16"/>
                <w:vertAlign w:val="superscript"/>
              </w:rPr>
              <w:t>ab</w:t>
            </w:r>
          </w:p>
        </w:tc>
        <w:tc>
          <w:tcPr>
            <w:tcW w:w="662" w:type="dxa"/>
            <w:shd w:val="clear" w:color="auto" w:fill="auto"/>
            <w:noWrap/>
            <w:vAlign w:val="bottom"/>
            <w:hideMark/>
          </w:tcPr>
          <w:p w14:paraId="55EAB6F4"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2.63</w:t>
            </w:r>
            <w:r w:rsidRPr="00F03C4C">
              <w:rPr>
                <w:rFonts w:ascii="Cambria" w:eastAsia="Times New Roman" w:hAnsi="Cambria" w:cs="Times New Roman"/>
                <w:color w:val="000000"/>
                <w:sz w:val="16"/>
                <w:szCs w:val="16"/>
                <w:vertAlign w:val="superscript"/>
              </w:rPr>
              <w:t>a</w:t>
            </w:r>
          </w:p>
        </w:tc>
      </w:tr>
      <w:tr w:rsidR="00F03C4C" w:rsidRPr="00F03C4C" w14:paraId="51EE70E0" w14:textId="77777777" w:rsidTr="00FE7A42">
        <w:trPr>
          <w:trHeight w:val="261"/>
        </w:trPr>
        <w:tc>
          <w:tcPr>
            <w:tcW w:w="854" w:type="dxa"/>
            <w:shd w:val="clear" w:color="auto" w:fill="auto"/>
            <w:noWrap/>
            <w:vAlign w:val="bottom"/>
            <w:hideMark/>
          </w:tcPr>
          <w:p w14:paraId="5CCB61F2"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F4</w:t>
            </w:r>
          </w:p>
        </w:tc>
        <w:tc>
          <w:tcPr>
            <w:tcW w:w="720" w:type="dxa"/>
            <w:shd w:val="clear" w:color="auto" w:fill="auto"/>
            <w:noWrap/>
            <w:vAlign w:val="bottom"/>
            <w:hideMark/>
          </w:tcPr>
          <w:p w14:paraId="01795DFB"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3.73</w:t>
            </w:r>
            <w:r w:rsidRPr="00F03C4C">
              <w:rPr>
                <w:rFonts w:ascii="Cambria" w:eastAsia="Times New Roman" w:hAnsi="Cambria" w:cs="Times New Roman"/>
                <w:color w:val="000000"/>
                <w:sz w:val="16"/>
                <w:szCs w:val="16"/>
                <w:vertAlign w:val="superscript"/>
              </w:rPr>
              <w:t>b</w:t>
            </w:r>
          </w:p>
        </w:tc>
        <w:tc>
          <w:tcPr>
            <w:tcW w:w="724" w:type="dxa"/>
            <w:shd w:val="clear" w:color="auto" w:fill="auto"/>
            <w:noWrap/>
            <w:vAlign w:val="bottom"/>
            <w:hideMark/>
          </w:tcPr>
          <w:p w14:paraId="28170A3A"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3.23</w:t>
            </w:r>
            <w:r w:rsidRPr="00F03C4C">
              <w:rPr>
                <w:rFonts w:ascii="Cambria" w:eastAsia="Times New Roman" w:hAnsi="Cambria" w:cs="Times New Roman"/>
                <w:color w:val="000000"/>
                <w:sz w:val="16"/>
                <w:szCs w:val="16"/>
                <w:vertAlign w:val="superscript"/>
              </w:rPr>
              <w:t>a</w:t>
            </w:r>
          </w:p>
        </w:tc>
        <w:tc>
          <w:tcPr>
            <w:tcW w:w="816" w:type="dxa"/>
            <w:shd w:val="clear" w:color="auto" w:fill="auto"/>
            <w:noWrap/>
            <w:vAlign w:val="bottom"/>
            <w:hideMark/>
          </w:tcPr>
          <w:p w14:paraId="16F014B6"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2.83</w:t>
            </w:r>
            <w:r w:rsidRPr="00F03C4C">
              <w:rPr>
                <w:rFonts w:ascii="Cambria" w:eastAsia="Times New Roman" w:hAnsi="Cambria" w:cs="Times New Roman"/>
                <w:color w:val="000000"/>
                <w:sz w:val="16"/>
                <w:szCs w:val="16"/>
                <w:vertAlign w:val="superscript"/>
              </w:rPr>
              <w:t>ab</w:t>
            </w:r>
          </w:p>
        </w:tc>
        <w:tc>
          <w:tcPr>
            <w:tcW w:w="805" w:type="dxa"/>
            <w:shd w:val="clear" w:color="auto" w:fill="auto"/>
            <w:noWrap/>
            <w:vAlign w:val="bottom"/>
            <w:hideMark/>
          </w:tcPr>
          <w:p w14:paraId="13574D98"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3.20</w:t>
            </w:r>
            <w:r w:rsidRPr="00F03C4C">
              <w:rPr>
                <w:rFonts w:ascii="Cambria" w:eastAsia="Times New Roman" w:hAnsi="Cambria" w:cs="Times New Roman"/>
                <w:color w:val="000000"/>
                <w:sz w:val="16"/>
                <w:szCs w:val="16"/>
                <w:vertAlign w:val="superscript"/>
              </w:rPr>
              <w:t>a</w:t>
            </w:r>
          </w:p>
        </w:tc>
        <w:tc>
          <w:tcPr>
            <w:tcW w:w="662" w:type="dxa"/>
            <w:shd w:val="clear" w:color="auto" w:fill="auto"/>
            <w:noWrap/>
            <w:vAlign w:val="bottom"/>
            <w:hideMark/>
          </w:tcPr>
          <w:p w14:paraId="17487648"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eastAsia="Times New Roman" w:hAnsi="Cambria" w:cs="Times New Roman"/>
                <w:color w:val="000000"/>
                <w:sz w:val="16"/>
                <w:szCs w:val="16"/>
              </w:rPr>
              <w:t>2.67</w:t>
            </w:r>
            <w:r w:rsidRPr="00F03C4C">
              <w:rPr>
                <w:rFonts w:ascii="Cambria" w:eastAsia="Times New Roman" w:hAnsi="Cambria" w:cs="Times New Roman"/>
                <w:color w:val="000000"/>
                <w:sz w:val="16"/>
                <w:szCs w:val="16"/>
                <w:vertAlign w:val="superscript"/>
              </w:rPr>
              <w:t>a</w:t>
            </w:r>
          </w:p>
        </w:tc>
      </w:tr>
    </w:tbl>
    <w:p w14:paraId="2B57ED0B" w14:textId="43A5CBAF" w:rsidR="00D95178" w:rsidRDefault="005A0D1F" w:rsidP="004B19A3">
      <w:pPr>
        <w:spacing w:after="0" w:line="240" w:lineRule="auto"/>
        <w:rPr>
          <w:rFonts w:ascii="Cambria" w:hAnsi="Cambria" w:cs="Times New Roman"/>
          <w:sz w:val="18"/>
          <w:szCs w:val="18"/>
        </w:rPr>
      </w:pPr>
      <w:proofErr w:type="spellStart"/>
      <w:proofErr w:type="gramStart"/>
      <w:r w:rsidRPr="00F03C4C">
        <w:rPr>
          <w:rFonts w:ascii="Cambria" w:hAnsi="Cambria" w:cs="Times New Roman"/>
          <w:sz w:val="18"/>
          <w:szCs w:val="18"/>
        </w:rPr>
        <w:t>Keterangan</w:t>
      </w:r>
      <w:proofErr w:type="spellEnd"/>
      <w:r w:rsidRPr="00F03C4C">
        <w:rPr>
          <w:rFonts w:ascii="Cambria" w:hAnsi="Cambria" w:cs="Times New Roman"/>
          <w:sz w:val="18"/>
          <w:szCs w:val="18"/>
        </w:rPr>
        <w:t xml:space="preserve"> :</w:t>
      </w:r>
      <w:proofErr w:type="gramEnd"/>
      <w:r w:rsidRPr="00F03C4C">
        <w:rPr>
          <w:rFonts w:ascii="Cambria" w:hAnsi="Cambria" w:cs="Times New Roman"/>
          <w:sz w:val="18"/>
          <w:szCs w:val="18"/>
        </w:rPr>
        <w:t xml:space="preserve"> Nilai yang </w:t>
      </w:r>
      <w:proofErr w:type="spellStart"/>
      <w:r w:rsidRPr="00F03C4C">
        <w:rPr>
          <w:rFonts w:ascii="Cambria" w:hAnsi="Cambria" w:cs="Times New Roman"/>
          <w:sz w:val="18"/>
          <w:szCs w:val="18"/>
        </w:rPr>
        <w:t>diikuti</w:t>
      </w:r>
      <w:proofErr w:type="spellEnd"/>
      <w:r w:rsidRPr="00F03C4C">
        <w:rPr>
          <w:rFonts w:ascii="Cambria" w:hAnsi="Cambria" w:cs="Times New Roman"/>
          <w:sz w:val="18"/>
          <w:szCs w:val="18"/>
        </w:rPr>
        <w:t xml:space="preserve"> </w:t>
      </w:r>
      <w:proofErr w:type="spellStart"/>
      <w:r w:rsidRPr="00F03C4C">
        <w:rPr>
          <w:rFonts w:ascii="Cambria" w:hAnsi="Cambria" w:cs="Times New Roman"/>
          <w:sz w:val="18"/>
          <w:szCs w:val="18"/>
        </w:rPr>
        <w:t>dengan</w:t>
      </w:r>
      <w:proofErr w:type="spellEnd"/>
      <w:r w:rsidRPr="00F03C4C">
        <w:rPr>
          <w:rFonts w:ascii="Cambria" w:hAnsi="Cambria" w:cs="Times New Roman"/>
          <w:sz w:val="18"/>
          <w:szCs w:val="18"/>
        </w:rPr>
        <w:t xml:space="preserve"> </w:t>
      </w:r>
      <w:proofErr w:type="spellStart"/>
      <w:r w:rsidRPr="00F03C4C">
        <w:rPr>
          <w:rFonts w:ascii="Cambria" w:hAnsi="Cambria" w:cs="Times New Roman"/>
          <w:sz w:val="18"/>
          <w:szCs w:val="18"/>
        </w:rPr>
        <w:t>huruf</w:t>
      </w:r>
      <w:proofErr w:type="spellEnd"/>
      <w:r w:rsidRPr="00F03C4C">
        <w:rPr>
          <w:rFonts w:ascii="Cambria" w:hAnsi="Cambria" w:cs="Times New Roman"/>
          <w:sz w:val="18"/>
          <w:szCs w:val="18"/>
        </w:rPr>
        <w:t xml:space="preserve"> </w:t>
      </w:r>
      <w:proofErr w:type="spellStart"/>
      <w:r w:rsidRPr="00F03C4C">
        <w:rPr>
          <w:rFonts w:ascii="Cambria" w:hAnsi="Cambria" w:cs="Times New Roman"/>
          <w:sz w:val="18"/>
          <w:szCs w:val="18"/>
        </w:rPr>
        <w:t>berbeda</w:t>
      </w:r>
      <w:proofErr w:type="spellEnd"/>
      <w:r w:rsidRPr="00F03C4C">
        <w:rPr>
          <w:rFonts w:ascii="Cambria" w:hAnsi="Cambria" w:cs="Times New Roman"/>
          <w:sz w:val="18"/>
          <w:szCs w:val="18"/>
        </w:rPr>
        <w:t xml:space="preserve"> pada </w:t>
      </w:r>
      <w:proofErr w:type="spellStart"/>
      <w:r w:rsidRPr="00F03C4C">
        <w:rPr>
          <w:rFonts w:ascii="Cambria" w:hAnsi="Cambria" w:cs="Times New Roman"/>
          <w:sz w:val="18"/>
          <w:szCs w:val="18"/>
        </w:rPr>
        <w:t>kolom</w:t>
      </w:r>
      <w:proofErr w:type="spellEnd"/>
      <w:r w:rsidRPr="00F03C4C">
        <w:rPr>
          <w:rFonts w:ascii="Cambria" w:hAnsi="Cambria" w:cs="Times New Roman"/>
          <w:sz w:val="18"/>
          <w:szCs w:val="18"/>
        </w:rPr>
        <w:t xml:space="preserve"> yang </w:t>
      </w:r>
      <w:proofErr w:type="spellStart"/>
      <w:r w:rsidRPr="00F03C4C">
        <w:rPr>
          <w:rFonts w:ascii="Cambria" w:hAnsi="Cambria" w:cs="Times New Roman"/>
          <w:sz w:val="18"/>
          <w:szCs w:val="18"/>
        </w:rPr>
        <w:t>sama</w:t>
      </w:r>
      <w:proofErr w:type="spellEnd"/>
      <w:r w:rsidRPr="00F03C4C">
        <w:rPr>
          <w:rFonts w:ascii="Cambria" w:hAnsi="Cambria" w:cs="Times New Roman"/>
          <w:sz w:val="18"/>
          <w:szCs w:val="18"/>
        </w:rPr>
        <w:t xml:space="preserve"> </w:t>
      </w:r>
      <w:proofErr w:type="spellStart"/>
      <w:r w:rsidRPr="00F03C4C">
        <w:rPr>
          <w:rFonts w:ascii="Cambria" w:hAnsi="Cambria" w:cs="Times New Roman"/>
          <w:sz w:val="18"/>
          <w:szCs w:val="18"/>
        </w:rPr>
        <w:t>menunjukkan</w:t>
      </w:r>
      <w:proofErr w:type="spellEnd"/>
      <w:r w:rsidRPr="00F03C4C">
        <w:rPr>
          <w:rFonts w:ascii="Cambria" w:hAnsi="Cambria" w:cs="Times New Roman"/>
          <w:sz w:val="18"/>
          <w:szCs w:val="18"/>
        </w:rPr>
        <w:t xml:space="preserve"> </w:t>
      </w:r>
      <w:proofErr w:type="spellStart"/>
      <w:r w:rsidRPr="00F03C4C">
        <w:rPr>
          <w:rFonts w:ascii="Cambria" w:hAnsi="Cambria" w:cs="Times New Roman"/>
          <w:sz w:val="18"/>
          <w:szCs w:val="18"/>
        </w:rPr>
        <w:t>perbedaan</w:t>
      </w:r>
      <w:proofErr w:type="spellEnd"/>
      <w:r w:rsidRPr="00F03C4C">
        <w:rPr>
          <w:rFonts w:ascii="Cambria" w:hAnsi="Cambria" w:cs="Times New Roman"/>
          <w:sz w:val="18"/>
          <w:szCs w:val="18"/>
        </w:rPr>
        <w:t xml:space="preserve"> yang </w:t>
      </w:r>
      <w:proofErr w:type="spellStart"/>
      <w:r w:rsidRPr="00F03C4C">
        <w:rPr>
          <w:rFonts w:ascii="Cambria" w:hAnsi="Cambria" w:cs="Times New Roman"/>
          <w:sz w:val="18"/>
          <w:szCs w:val="18"/>
        </w:rPr>
        <w:t>nyata</w:t>
      </w:r>
      <w:proofErr w:type="spellEnd"/>
      <w:r w:rsidRPr="00F03C4C">
        <w:rPr>
          <w:rFonts w:ascii="Cambria" w:hAnsi="Cambria" w:cs="Times New Roman"/>
          <w:sz w:val="18"/>
          <w:szCs w:val="18"/>
        </w:rPr>
        <w:t xml:space="preserve"> (p&lt;0.05)</w:t>
      </w:r>
    </w:p>
    <w:p w14:paraId="4EC96E4D" w14:textId="2D21CB91" w:rsidR="007741CF" w:rsidRDefault="007741CF" w:rsidP="007741CF">
      <w:pPr>
        <w:pStyle w:val="Default"/>
        <w:jc w:val="both"/>
        <w:rPr>
          <w:rFonts w:ascii="Cambria" w:hAnsi="Cambria" w:cs="Times New Roman"/>
          <w:sz w:val="22"/>
          <w:szCs w:val="22"/>
        </w:rPr>
      </w:pPr>
      <w:r>
        <w:rPr>
          <w:rFonts w:ascii="Cambria" w:hAnsi="Cambria" w:cs="Times New Roman"/>
          <w:sz w:val="22"/>
          <w:szCs w:val="22"/>
        </w:rPr>
        <w:tab/>
        <w:t xml:space="preserve">Pada Tabel 2 </w:t>
      </w:r>
      <w:proofErr w:type="spellStart"/>
      <w:r>
        <w:rPr>
          <w:rFonts w:ascii="Cambria" w:hAnsi="Cambria" w:cs="Times New Roman"/>
          <w:sz w:val="22"/>
          <w:szCs w:val="22"/>
        </w:rPr>
        <w:t>terlihat</w:t>
      </w:r>
      <w:proofErr w:type="spellEnd"/>
      <w:r>
        <w:rPr>
          <w:rFonts w:ascii="Cambria" w:hAnsi="Cambria" w:cs="Times New Roman"/>
          <w:sz w:val="22"/>
          <w:szCs w:val="22"/>
        </w:rPr>
        <w:t xml:space="preserve"> </w:t>
      </w:r>
      <w:proofErr w:type="spellStart"/>
      <w:r>
        <w:rPr>
          <w:rFonts w:ascii="Cambria" w:hAnsi="Cambria" w:cs="Times New Roman"/>
          <w:sz w:val="22"/>
          <w:szCs w:val="22"/>
        </w:rPr>
        <w:t>bahwa</w:t>
      </w:r>
      <w:proofErr w:type="spellEnd"/>
      <w:r>
        <w:rPr>
          <w:rFonts w:ascii="Cambria" w:hAnsi="Cambria" w:cs="Times New Roman"/>
          <w:sz w:val="22"/>
          <w:szCs w:val="22"/>
        </w:rPr>
        <w:t xml:space="preserve"> pada parameter </w:t>
      </w:r>
      <w:proofErr w:type="spellStart"/>
      <w:r>
        <w:rPr>
          <w:rFonts w:ascii="Cambria" w:hAnsi="Cambria" w:cs="Times New Roman"/>
          <w:sz w:val="22"/>
          <w:szCs w:val="22"/>
        </w:rPr>
        <w:t>warna</w:t>
      </w:r>
      <w:proofErr w:type="spellEnd"/>
      <w:r>
        <w:rPr>
          <w:rFonts w:ascii="Cambria" w:hAnsi="Cambria" w:cs="Times New Roman"/>
          <w:sz w:val="22"/>
          <w:szCs w:val="22"/>
        </w:rPr>
        <w:t xml:space="preserve"> </w:t>
      </w:r>
      <w:proofErr w:type="spellStart"/>
      <w:r>
        <w:rPr>
          <w:rFonts w:ascii="Cambria" w:hAnsi="Cambria" w:cs="Times New Roman"/>
          <w:sz w:val="22"/>
          <w:szCs w:val="22"/>
        </w:rPr>
        <w:t>terdapat</w:t>
      </w:r>
      <w:proofErr w:type="spellEnd"/>
      <w:r>
        <w:rPr>
          <w:rFonts w:ascii="Cambria" w:hAnsi="Cambria" w:cs="Times New Roman"/>
          <w:sz w:val="22"/>
          <w:szCs w:val="22"/>
        </w:rPr>
        <w:t xml:space="preserve"> </w:t>
      </w:r>
      <w:proofErr w:type="spellStart"/>
      <w:r>
        <w:rPr>
          <w:rFonts w:ascii="Cambria" w:hAnsi="Cambria" w:cs="Times New Roman"/>
          <w:sz w:val="22"/>
          <w:szCs w:val="22"/>
        </w:rPr>
        <w:t>perbedaan</w:t>
      </w:r>
      <w:proofErr w:type="spellEnd"/>
      <w:r>
        <w:rPr>
          <w:rFonts w:ascii="Cambria" w:hAnsi="Cambria" w:cs="Times New Roman"/>
          <w:sz w:val="22"/>
          <w:szCs w:val="22"/>
        </w:rPr>
        <w:t xml:space="preserve"> yang </w:t>
      </w:r>
      <w:proofErr w:type="spellStart"/>
      <w:r>
        <w:rPr>
          <w:rFonts w:ascii="Cambria" w:hAnsi="Cambria" w:cs="Times New Roman"/>
          <w:sz w:val="22"/>
          <w:szCs w:val="22"/>
        </w:rPr>
        <w:t>signifikan</w:t>
      </w:r>
      <w:proofErr w:type="spellEnd"/>
      <w:r>
        <w:rPr>
          <w:rFonts w:ascii="Cambria" w:hAnsi="Cambria" w:cs="Times New Roman"/>
          <w:sz w:val="22"/>
          <w:szCs w:val="22"/>
        </w:rPr>
        <w:t xml:space="preserve"> </w:t>
      </w:r>
      <w:proofErr w:type="spellStart"/>
      <w:r>
        <w:rPr>
          <w:rFonts w:ascii="Cambria" w:hAnsi="Cambria" w:cs="Times New Roman"/>
          <w:sz w:val="22"/>
          <w:szCs w:val="22"/>
        </w:rPr>
        <w:t>antara</w:t>
      </w:r>
      <w:proofErr w:type="spellEnd"/>
      <w:r>
        <w:rPr>
          <w:rFonts w:ascii="Cambria" w:hAnsi="Cambria" w:cs="Times New Roman"/>
          <w:sz w:val="22"/>
          <w:szCs w:val="22"/>
        </w:rPr>
        <w:t xml:space="preserve"> control </w:t>
      </w:r>
      <w:proofErr w:type="spellStart"/>
      <w:r>
        <w:rPr>
          <w:rFonts w:ascii="Cambria" w:hAnsi="Cambria" w:cs="Times New Roman"/>
          <w:sz w:val="22"/>
          <w:szCs w:val="22"/>
        </w:rPr>
        <w:t>dengan</w:t>
      </w:r>
      <w:proofErr w:type="spellEnd"/>
      <w:r>
        <w:rPr>
          <w:rFonts w:ascii="Cambria" w:hAnsi="Cambria" w:cs="Times New Roman"/>
          <w:sz w:val="22"/>
          <w:szCs w:val="22"/>
        </w:rPr>
        <w:t xml:space="preserve"> formula yang </w:t>
      </w:r>
      <w:proofErr w:type="spellStart"/>
      <w:r>
        <w:rPr>
          <w:rFonts w:ascii="Cambria" w:hAnsi="Cambria" w:cs="Times New Roman"/>
          <w:sz w:val="22"/>
          <w:szCs w:val="22"/>
        </w:rPr>
        <w:t>ditambahkan</w:t>
      </w:r>
      <w:proofErr w:type="spellEnd"/>
      <w:r>
        <w:rPr>
          <w:rFonts w:ascii="Cambria" w:hAnsi="Cambria" w:cs="Times New Roman"/>
          <w:sz w:val="22"/>
          <w:szCs w:val="22"/>
        </w:rPr>
        <w:t xml:space="preserve"> </w:t>
      </w:r>
      <w:proofErr w:type="spellStart"/>
      <w:r>
        <w:rPr>
          <w:rFonts w:ascii="Cambria" w:hAnsi="Cambria" w:cs="Times New Roman"/>
          <w:sz w:val="22"/>
          <w:szCs w:val="22"/>
        </w:rPr>
        <w:t>tepung</w:t>
      </w:r>
      <w:proofErr w:type="spellEnd"/>
      <w:r>
        <w:rPr>
          <w:rFonts w:ascii="Cambria" w:hAnsi="Cambria" w:cs="Times New Roman"/>
          <w:sz w:val="22"/>
          <w:szCs w:val="22"/>
        </w:rPr>
        <w:t xml:space="preserve"> ubi </w:t>
      </w:r>
      <w:proofErr w:type="spellStart"/>
      <w:r>
        <w:rPr>
          <w:rFonts w:ascii="Cambria" w:hAnsi="Cambria" w:cs="Times New Roman"/>
          <w:sz w:val="22"/>
          <w:szCs w:val="22"/>
        </w:rPr>
        <w:t>jalar</w:t>
      </w:r>
      <w:proofErr w:type="spellEnd"/>
      <w:r w:rsidR="001C265A">
        <w:rPr>
          <w:rFonts w:ascii="Cambria" w:hAnsi="Cambria" w:cs="Times New Roman"/>
          <w:sz w:val="22"/>
          <w:szCs w:val="22"/>
        </w:rPr>
        <w:t xml:space="preserve"> </w:t>
      </w:r>
      <w:proofErr w:type="spellStart"/>
      <w:r w:rsidR="001C265A">
        <w:rPr>
          <w:rFonts w:ascii="Cambria" w:hAnsi="Cambria" w:cs="Times New Roman"/>
          <w:sz w:val="22"/>
          <w:szCs w:val="22"/>
        </w:rPr>
        <w:t>ungu</w:t>
      </w:r>
      <w:proofErr w:type="spellEnd"/>
      <w:r>
        <w:rPr>
          <w:rFonts w:ascii="Cambria" w:hAnsi="Cambria" w:cs="Times New Roman"/>
          <w:sz w:val="22"/>
          <w:szCs w:val="22"/>
        </w:rPr>
        <w:t xml:space="preserve">. Formula </w:t>
      </w:r>
      <w:proofErr w:type="spellStart"/>
      <w:r>
        <w:rPr>
          <w:rFonts w:ascii="Cambria" w:hAnsi="Cambria" w:cs="Times New Roman"/>
          <w:sz w:val="22"/>
          <w:szCs w:val="22"/>
        </w:rPr>
        <w:t>dengan</w:t>
      </w:r>
      <w:proofErr w:type="spellEnd"/>
      <w:r>
        <w:rPr>
          <w:rFonts w:ascii="Cambria" w:hAnsi="Cambria" w:cs="Times New Roman"/>
          <w:sz w:val="22"/>
          <w:szCs w:val="22"/>
        </w:rPr>
        <w:t xml:space="preserve"> </w:t>
      </w:r>
      <w:proofErr w:type="spellStart"/>
      <w:r>
        <w:rPr>
          <w:rFonts w:ascii="Cambria" w:hAnsi="Cambria" w:cs="Times New Roman"/>
          <w:sz w:val="22"/>
          <w:szCs w:val="22"/>
        </w:rPr>
        <w:t>penambahan</w:t>
      </w:r>
      <w:proofErr w:type="spellEnd"/>
      <w:r>
        <w:rPr>
          <w:rFonts w:ascii="Cambria" w:hAnsi="Cambria" w:cs="Times New Roman"/>
          <w:sz w:val="22"/>
          <w:szCs w:val="22"/>
        </w:rPr>
        <w:t xml:space="preserve"> </w:t>
      </w:r>
      <w:proofErr w:type="spellStart"/>
      <w:r>
        <w:rPr>
          <w:rFonts w:ascii="Cambria" w:hAnsi="Cambria" w:cs="Times New Roman"/>
          <w:sz w:val="22"/>
          <w:szCs w:val="22"/>
        </w:rPr>
        <w:t>tepung</w:t>
      </w:r>
      <w:proofErr w:type="spellEnd"/>
      <w:r>
        <w:rPr>
          <w:rFonts w:ascii="Cambria" w:hAnsi="Cambria" w:cs="Times New Roman"/>
          <w:sz w:val="22"/>
          <w:szCs w:val="22"/>
        </w:rPr>
        <w:t xml:space="preserve"> ubi </w:t>
      </w:r>
      <w:proofErr w:type="spellStart"/>
      <w:r>
        <w:rPr>
          <w:rFonts w:ascii="Cambria" w:hAnsi="Cambria" w:cs="Times New Roman"/>
          <w:sz w:val="22"/>
          <w:szCs w:val="22"/>
        </w:rPr>
        <w:t>jalar</w:t>
      </w:r>
      <w:proofErr w:type="spellEnd"/>
      <w:r w:rsidR="001C265A">
        <w:rPr>
          <w:rFonts w:ascii="Cambria" w:hAnsi="Cambria" w:cs="Times New Roman"/>
          <w:sz w:val="22"/>
          <w:szCs w:val="22"/>
        </w:rPr>
        <w:t xml:space="preserve"> </w:t>
      </w:r>
      <w:proofErr w:type="spellStart"/>
      <w:proofErr w:type="gramStart"/>
      <w:r w:rsidR="001C265A">
        <w:rPr>
          <w:rFonts w:ascii="Cambria" w:hAnsi="Cambria" w:cs="Times New Roman"/>
          <w:sz w:val="22"/>
          <w:szCs w:val="22"/>
        </w:rPr>
        <w:t>ungu</w:t>
      </w:r>
      <w:proofErr w:type="spellEnd"/>
      <w:r w:rsidR="00F929FD">
        <w:rPr>
          <w:rFonts w:ascii="Cambria" w:hAnsi="Cambria" w:cs="Times New Roman"/>
          <w:sz w:val="22"/>
          <w:szCs w:val="22"/>
        </w:rPr>
        <w:t xml:space="preserve"> </w:t>
      </w:r>
      <w:r>
        <w:rPr>
          <w:rFonts w:ascii="Cambria" w:hAnsi="Cambria" w:cs="Times New Roman"/>
          <w:sz w:val="22"/>
          <w:szCs w:val="22"/>
        </w:rPr>
        <w:t xml:space="preserve"> </w:t>
      </w:r>
      <w:proofErr w:type="spellStart"/>
      <w:r>
        <w:rPr>
          <w:rFonts w:ascii="Cambria" w:hAnsi="Cambria" w:cs="Times New Roman"/>
          <w:sz w:val="22"/>
          <w:szCs w:val="22"/>
        </w:rPr>
        <w:t>memiliki</w:t>
      </w:r>
      <w:proofErr w:type="spellEnd"/>
      <w:proofErr w:type="gramEnd"/>
      <w:r>
        <w:rPr>
          <w:rFonts w:ascii="Cambria" w:hAnsi="Cambria" w:cs="Times New Roman"/>
          <w:sz w:val="22"/>
          <w:szCs w:val="22"/>
        </w:rPr>
        <w:t xml:space="preserve"> </w:t>
      </w:r>
      <w:proofErr w:type="spellStart"/>
      <w:r>
        <w:rPr>
          <w:rFonts w:ascii="Cambria" w:hAnsi="Cambria" w:cs="Times New Roman"/>
          <w:sz w:val="22"/>
          <w:szCs w:val="22"/>
        </w:rPr>
        <w:t>warna</w:t>
      </w:r>
      <w:proofErr w:type="spellEnd"/>
      <w:r>
        <w:rPr>
          <w:rFonts w:ascii="Cambria" w:hAnsi="Cambria" w:cs="Times New Roman"/>
          <w:sz w:val="22"/>
          <w:szCs w:val="22"/>
        </w:rPr>
        <w:t xml:space="preserve"> yang </w:t>
      </w:r>
      <w:proofErr w:type="spellStart"/>
      <w:r>
        <w:rPr>
          <w:rFonts w:ascii="Cambria" w:hAnsi="Cambria" w:cs="Times New Roman"/>
          <w:sz w:val="22"/>
          <w:szCs w:val="22"/>
        </w:rPr>
        <w:t>lebih</w:t>
      </w:r>
      <w:proofErr w:type="spellEnd"/>
      <w:r>
        <w:rPr>
          <w:rFonts w:ascii="Cambria" w:hAnsi="Cambria" w:cs="Times New Roman"/>
          <w:sz w:val="22"/>
          <w:szCs w:val="22"/>
        </w:rPr>
        <w:t xml:space="preserve"> </w:t>
      </w:r>
      <w:proofErr w:type="spellStart"/>
      <w:r>
        <w:rPr>
          <w:rFonts w:ascii="Cambria" w:hAnsi="Cambria" w:cs="Times New Roman"/>
          <w:sz w:val="22"/>
          <w:szCs w:val="22"/>
        </w:rPr>
        <w:t>disukai</w:t>
      </w:r>
      <w:proofErr w:type="spellEnd"/>
      <w:r>
        <w:rPr>
          <w:rFonts w:ascii="Cambria" w:hAnsi="Cambria" w:cs="Times New Roman"/>
          <w:sz w:val="22"/>
          <w:szCs w:val="22"/>
        </w:rPr>
        <w:t xml:space="preserve"> </w:t>
      </w:r>
      <w:proofErr w:type="spellStart"/>
      <w:r>
        <w:rPr>
          <w:rFonts w:ascii="Cambria" w:hAnsi="Cambria" w:cs="Times New Roman"/>
          <w:sz w:val="22"/>
          <w:szCs w:val="22"/>
        </w:rPr>
        <w:t>dibandingkan</w:t>
      </w:r>
      <w:proofErr w:type="spellEnd"/>
      <w:r>
        <w:rPr>
          <w:rFonts w:ascii="Cambria" w:hAnsi="Cambria" w:cs="Times New Roman"/>
          <w:sz w:val="22"/>
          <w:szCs w:val="22"/>
        </w:rPr>
        <w:t xml:space="preserve"> </w:t>
      </w:r>
      <w:proofErr w:type="spellStart"/>
      <w:r>
        <w:rPr>
          <w:rFonts w:ascii="Cambria" w:hAnsi="Cambria" w:cs="Times New Roman"/>
          <w:sz w:val="22"/>
          <w:szCs w:val="22"/>
        </w:rPr>
        <w:t>dengan</w:t>
      </w:r>
      <w:proofErr w:type="spellEnd"/>
      <w:r>
        <w:rPr>
          <w:rFonts w:ascii="Cambria" w:hAnsi="Cambria" w:cs="Times New Roman"/>
          <w:sz w:val="22"/>
          <w:szCs w:val="22"/>
        </w:rPr>
        <w:t xml:space="preserve"> control.</w:t>
      </w:r>
      <w:r w:rsidR="00412A43">
        <w:rPr>
          <w:rFonts w:ascii="Cambria" w:hAnsi="Cambria" w:cs="Times New Roman"/>
          <w:sz w:val="22"/>
          <w:szCs w:val="22"/>
        </w:rPr>
        <w:t xml:space="preserve"> </w:t>
      </w:r>
      <w:proofErr w:type="spellStart"/>
      <w:r w:rsidR="00412A43">
        <w:rPr>
          <w:rFonts w:ascii="Cambria" w:hAnsi="Cambria" w:cs="Times New Roman"/>
          <w:sz w:val="22"/>
          <w:szCs w:val="22"/>
        </w:rPr>
        <w:t>Namun</w:t>
      </w:r>
      <w:proofErr w:type="spellEnd"/>
      <w:r w:rsidR="00412A43">
        <w:rPr>
          <w:rFonts w:ascii="Cambria" w:hAnsi="Cambria" w:cs="Times New Roman"/>
          <w:sz w:val="22"/>
          <w:szCs w:val="22"/>
        </w:rPr>
        <w:t xml:space="preserve"> pada parameter rasa </w:t>
      </w:r>
      <w:proofErr w:type="spellStart"/>
      <w:r w:rsidR="00412A43">
        <w:rPr>
          <w:rFonts w:ascii="Cambria" w:hAnsi="Cambria" w:cs="Times New Roman"/>
          <w:sz w:val="22"/>
          <w:szCs w:val="22"/>
        </w:rPr>
        <w:t>panelis</w:t>
      </w:r>
      <w:proofErr w:type="spellEnd"/>
      <w:r w:rsidR="00412A43">
        <w:rPr>
          <w:rFonts w:ascii="Cambria" w:hAnsi="Cambria" w:cs="Times New Roman"/>
          <w:sz w:val="22"/>
          <w:szCs w:val="22"/>
        </w:rPr>
        <w:t xml:space="preserve"> </w:t>
      </w:r>
      <w:proofErr w:type="spellStart"/>
      <w:r w:rsidR="00412A43">
        <w:rPr>
          <w:rFonts w:ascii="Cambria" w:hAnsi="Cambria" w:cs="Times New Roman"/>
          <w:sz w:val="22"/>
          <w:szCs w:val="22"/>
        </w:rPr>
        <w:t>lebih</w:t>
      </w:r>
      <w:proofErr w:type="spellEnd"/>
      <w:r w:rsidR="00412A43">
        <w:rPr>
          <w:rFonts w:ascii="Cambria" w:hAnsi="Cambria" w:cs="Times New Roman"/>
          <w:sz w:val="22"/>
          <w:szCs w:val="22"/>
        </w:rPr>
        <w:t xml:space="preserve"> </w:t>
      </w:r>
      <w:proofErr w:type="spellStart"/>
      <w:r w:rsidR="00412A43">
        <w:rPr>
          <w:rFonts w:ascii="Cambria" w:hAnsi="Cambria" w:cs="Times New Roman"/>
          <w:sz w:val="22"/>
          <w:szCs w:val="22"/>
        </w:rPr>
        <w:t>menyukai</w:t>
      </w:r>
      <w:proofErr w:type="spellEnd"/>
      <w:r w:rsidR="00412A43">
        <w:rPr>
          <w:rFonts w:ascii="Cambria" w:hAnsi="Cambria" w:cs="Times New Roman"/>
          <w:sz w:val="22"/>
          <w:szCs w:val="22"/>
        </w:rPr>
        <w:t xml:space="preserve"> control dan formula F1 </w:t>
      </w:r>
      <w:proofErr w:type="spellStart"/>
      <w:r w:rsidR="00412A43">
        <w:rPr>
          <w:rFonts w:ascii="Cambria" w:hAnsi="Cambria" w:cs="Times New Roman"/>
          <w:sz w:val="22"/>
          <w:szCs w:val="22"/>
        </w:rPr>
        <w:t>yakni</w:t>
      </w:r>
      <w:proofErr w:type="spellEnd"/>
      <w:r w:rsidR="00412A43">
        <w:rPr>
          <w:rFonts w:ascii="Cambria" w:hAnsi="Cambria" w:cs="Times New Roman"/>
          <w:sz w:val="22"/>
          <w:szCs w:val="22"/>
        </w:rPr>
        <w:t xml:space="preserve"> formula yang paling </w:t>
      </w:r>
      <w:proofErr w:type="spellStart"/>
      <w:r w:rsidR="00412A43">
        <w:rPr>
          <w:rFonts w:ascii="Cambria" w:hAnsi="Cambria" w:cs="Times New Roman"/>
          <w:sz w:val="22"/>
          <w:szCs w:val="22"/>
        </w:rPr>
        <w:t>sedikit</w:t>
      </w:r>
      <w:proofErr w:type="spellEnd"/>
      <w:r w:rsidR="00412A43">
        <w:rPr>
          <w:rFonts w:ascii="Cambria" w:hAnsi="Cambria" w:cs="Times New Roman"/>
          <w:sz w:val="22"/>
          <w:szCs w:val="22"/>
        </w:rPr>
        <w:t xml:space="preserve"> </w:t>
      </w:r>
      <w:proofErr w:type="spellStart"/>
      <w:r w:rsidR="00412A43">
        <w:rPr>
          <w:rFonts w:ascii="Cambria" w:hAnsi="Cambria" w:cs="Times New Roman"/>
          <w:sz w:val="22"/>
          <w:szCs w:val="22"/>
        </w:rPr>
        <w:t>komposisi</w:t>
      </w:r>
      <w:proofErr w:type="spellEnd"/>
      <w:r w:rsidR="00412A43">
        <w:rPr>
          <w:rFonts w:ascii="Cambria" w:hAnsi="Cambria" w:cs="Times New Roman"/>
          <w:sz w:val="22"/>
          <w:szCs w:val="22"/>
        </w:rPr>
        <w:t xml:space="preserve"> </w:t>
      </w:r>
      <w:proofErr w:type="spellStart"/>
      <w:r w:rsidR="00412A43">
        <w:rPr>
          <w:rFonts w:ascii="Cambria" w:hAnsi="Cambria" w:cs="Times New Roman"/>
          <w:sz w:val="22"/>
          <w:szCs w:val="22"/>
        </w:rPr>
        <w:t>tepung</w:t>
      </w:r>
      <w:proofErr w:type="spellEnd"/>
      <w:r w:rsidR="00412A43">
        <w:rPr>
          <w:rFonts w:ascii="Cambria" w:hAnsi="Cambria" w:cs="Times New Roman"/>
          <w:sz w:val="22"/>
          <w:szCs w:val="22"/>
        </w:rPr>
        <w:t xml:space="preserve"> ubi </w:t>
      </w:r>
      <w:proofErr w:type="spellStart"/>
      <w:r w:rsidR="00412A43">
        <w:rPr>
          <w:rFonts w:ascii="Cambria" w:hAnsi="Cambria" w:cs="Times New Roman"/>
          <w:sz w:val="22"/>
          <w:szCs w:val="22"/>
        </w:rPr>
        <w:t>jalar</w:t>
      </w:r>
      <w:proofErr w:type="spellEnd"/>
      <w:r w:rsidR="00412A43">
        <w:rPr>
          <w:rFonts w:ascii="Cambria" w:hAnsi="Cambria" w:cs="Times New Roman"/>
          <w:sz w:val="22"/>
          <w:szCs w:val="22"/>
        </w:rPr>
        <w:t xml:space="preserve">. </w:t>
      </w:r>
      <w:r w:rsidR="00AA7E5C">
        <w:rPr>
          <w:rFonts w:ascii="Cambria" w:hAnsi="Cambria" w:cs="Times New Roman"/>
          <w:sz w:val="22"/>
          <w:szCs w:val="22"/>
        </w:rPr>
        <w:t>Data p</w:t>
      </w:r>
      <w:r w:rsidR="00412A43">
        <w:rPr>
          <w:rFonts w:ascii="Cambria" w:hAnsi="Cambria" w:cs="Times New Roman"/>
          <w:sz w:val="22"/>
          <w:szCs w:val="22"/>
        </w:rPr>
        <w:t xml:space="preserve">ada Tabel 2 juga </w:t>
      </w:r>
      <w:proofErr w:type="spellStart"/>
      <w:r w:rsidR="00AA7E5C">
        <w:rPr>
          <w:rFonts w:ascii="Cambria" w:hAnsi="Cambria" w:cs="Times New Roman"/>
          <w:sz w:val="22"/>
          <w:szCs w:val="22"/>
        </w:rPr>
        <w:t>menunjukkan</w:t>
      </w:r>
      <w:proofErr w:type="spellEnd"/>
      <w:r w:rsidR="00412A43">
        <w:rPr>
          <w:rFonts w:ascii="Cambria" w:hAnsi="Cambria" w:cs="Times New Roman"/>
          <w:sz w:val="22"/>
          <w:szCs w:val="22"/>
        </w:rPr>
        <w:t xml:space="preserve"> </w:t>
      </w:r>
      <w:proofErr w:type="spellStart"/>
      <w:r w:rsidR="00412A43">
        <w:rPr>
          <w:rFonts w:ascii="Cambria" w:hAnsi="Cambria" w:cs="Times New Roman"/>
          <w:sz w:val="22"/>
          <w:szCs w:val="22"/>
        </w:rPr>
        <w:t>bahwa</w:t>
      </w:r>
      <w:proofErr w:type="spellEnd"/>
      <w:r w:rsidR="00412A43">
        <w:rPr>
          <w:rFonts w:ascii="Cambria" w:hAnsi="Cambria" w:cs="Times New Roman"/>
          <w:sz w:val="22"/>
          <w:szCs w:val="22"/>
        </w:rPr>
        <w:t xml:space="preserve"> </w:t>
      </w:r>
      <w:proofErr w:type="spellStart"/>
      <w:r w:rsidR="00412A43">
        <w:rPr>
          <w:rFonts w:ascii="Cambria" w:hAnsi="Cambria" w:cs="Times New Roman"/>
          <w:sz w:val="22"/>
          <w:szCs w:val="22"/>
        </w:rPr>
        <w:t>pertambahan</w:t>
      </w:r>
      <w:proofErr w:type="spellEnd"/>
      <w:r w:rsidR="00412A43">
        <w:rPr>
          <w:rFonts w:ascii="Cambria" w:hAnsi="Cambria" w:cs="Times New Roman"/>
          <w:sz w:val="22"/>
          <w:szCs w:val="22"/>
        </w:rPr>
        <w:t xml:space="preserve"> </w:t>
      </w:r>
      <w:proofErr w:type="spellStart"/>
      <w:r w:rsidR="00412A43">
        <w:rPr>
          <w:rFonts w:ascii="Cambria" w:hAnsi="Cambria" w:cs="Times New Roman"/>
          <w:sz w:val="22"/>
          <w:szCs w:val="22"/>
        </w:rPr>
        <w:t>komposisi</w:t>
      </w:r>
      <w:proofErr w:type="spellEnd"/>
      <w:r w:rsidR="00412A43">
        <w:rPr>
          <w:rFonts w:ascii="Cambria" w:hAnsi="Cambria" w:cs="Times New Roman"/>
          <w:sz w:val="22"/>
          <w:szCs w:val="22"/>
        </w:rPr>
        <w:t xml:space="preserve"> </w:t>
      </w:r>
      <w:proofErr w:type="spellStart"/>
      <w:r w:rsidR="00412A43">
        <w:rPr>
          <w:rFonts w:ascii="Cambria" w:hAnsi="Cambria" w:cs="Times New Roman"/>
          <w:sz w:val="22"/>
          <w:szCs w:val="22"/>
        </w:rPr>
        <w:t>tepung</w:t>
      </w:r>
      <w:proofErr w:type="spellEnd"/>
      <w:r w:rsidR="00412A43">
        <w:rPr>
          <w:rFonts w:ascii="Cambria" w:hAnsi="Cambria" w:cs="Times New Roman"/>
          <w:sz w:val="22"/>
          <w:szCs w:val="22"/>
        </w:rPr>
        <w:t xml:space="preserve"> ubi </w:t>
      </w:r>
      <w:proofErr w:type="spellStart"/>
      <w:r w:rsidR="00412A43">
        <w:rPr>
          <w:rFonts w:ascii="Cambria" w:hAnsi="Cambria" w:cs="Times New Roman"/>
          <w:sz w:val="22"/>
          <w:szCs w:val="22"/>
        </w:rPr>
        <w:t>jalar</w:t>
      </w:r>
      <w:proofErr w:type="spellEnd"/>
      <w:r w:rsidR="00AA7E5C">
        <w:rPr>
          <w:rFonts w:ascii="Cambria" w:hAnsi="Cambria" w:cs="Times New Roman"/>
          <w:sz w:val="22"/>
          <w:szCs w:val="22"/>
        </w:rPr>
        <w:t xml:space="preserve"> </w:t>
      </w:r>
      <w:proofErr w:type="spellStart"/>
      <w:r w:rsidR="00AA7E5C">
        <w:rPr>
          <w:rFonts w:ascii="Cambria" w:hAnsi="Cambria" w:cs="Times New Roman"/>
          <w:sz w:val="22"/>
          <w:szCs w:val="22"/>
        </w:rPr>
        <w:t>ungu</w:t>
      </w:r>
      <w:proofErr w:type="spellEnd"/>
      <w:r w:rsidR="00412A43">
        <w:rPr>
          <w:rFonts w:ascii="Cambria" w:hAnsi="Cambria" w:cs="Times New Roman"/>
          <w:sz w:val="22"/>
          <w:szCs w:val="22"/>
        </w:rPr>
        <w:t xml:space="preserve"> </w:t>
      </w:r>
      <w:proofErr w:type="spellStart"/>
      <w:r w:rsidR="00412A43">
        <w:rPr>
          <w:rFonts w:ascii="Cambria" w:hAnsi="Cambria" w:cs="Times New Roman"/>
          <w:sz w:val="22"/>
          <w:szCs w:val="22"/>
        </w:rPr>
        <w:t>menurunkan</w:t>
      </w:r>
      <w:proofErr w:type="spellEnd"/>
      <w:r w:rsidR="00412A43">
        <w:rPr>
          <w:rFonts w:ascii="Cambria" w:hAnsi="Cambria" w:cs="Times New Roman"/>
          <w:sz w:val="22"/>
          <w:szCs w:val="22"/>
        </w:rPr>
        <w:t xml:space="preserve"> </w:t>
      </w:r>
      <w:proofErr w:type="spellStart"/>
      <w:r w:rsidR="00AA7E5C">
        <w:rPr>
          <w:rFonts w:ascii="Cambria" w:hAnsi="Cambria" w:cs="Times New Roman"/>
          <w:sz w:val="22"/>
          <w:szCs w:val="22"/>
        </w:rPr>
        <w:t>daya</w:t>
      </w:r>
      <w:proofErr w:type="spellEnd"/>
      <w:r w:rsidR="00AA7E5C">
        <w:rPr>
          <w:rFonts w:ascii="Cambria" w:hAnsi="Cambria" w:cs="Times New Roman"/>
          <w:sz w:val="22"/>
          <w:szCs w:val="22"/>
        </w:rPr>
        <w:t xml:space="preserve"> </w:t>
      </w:r>
      <w:proofErr w:type="spellStart"/>
      <w:r w:rsidR="00AA7E5C">
        <w:rPr>
          <w:rFonts w:ascii="Cambria" w:hAnsi="Cambria" w:cs="Times New Roman"/>
          <w:sz w:val="22"/>
          <w:szCs w:val="22"/>
        </w:rPr>
        <w:t>terima</w:t>
      </w:r>
      <w:proofErr w:type="spellEnd"/>
      <w:r w:rsidR="00412A43">
        <w:rPr>
          <w:rFonts w:ascii="Cambria" w:hAnsi="Cambria" w:cs="Times New Roman"/>
          <w:sz w:val="22"/>
          <w:szCs w:val="22"/>
        </w:rPr>
        <w:t xml:space="preserve"> </w:t>
      </w:r>
      <w:proofErr w:type="spellStart"/>
      <w:r w:rsidR="00412A43">
        <w:rPr>
          <w:rFonts w:ascii="Cambria" w:hAnsi="Cambria" w:cs="Times New Roman"/>
          <w:sz w:val="22"/>
          <w:szCs w:val="22"/>
        </w:rPr>
        <w:t>panelis</w:t>
      </w:r>
      <w:proofErr w:type="spellEnd"/>
      <w:r w:rsidR="00412A43">
        <w:rPr>
          <w:rFonts w:ascii="Cambria" w:hAnsi="Cambria" w:cs="Times New Roman"/>
          <w:sz w:val="22"/>
          <w:szCs w:val="22"/>
        </w:rPr>
        <w:t xml:space="preserve">. Hal </w:t>
      </w:r>
      <w:proofErr w:type="spellStart"/>
      <w:r w:rsidR="00412A43">
        <w:rPr>
          <w:rFonts w:ascii="Cambria" w:hAnsi="Cambria" w:cs="Times New Roman"/>
          <w:sz w:val="22"/>
          <w:szCs w:val="22"/>
        </w:rPr>
        <w:t>tersebut</w:t>
      </w:r>
      <w:proofErr w:type="spellEnd"/>
      <w:r w:rsidR="00412A43">
        <w:rPr>
          <w:rFonts w:ascii="Cambria" w:hAnsi="Cambria" w:cs="Times New Roman"/>
          <w:sz w:val="22"/>
          <w:szCs w:val="22"/>
        </w:rPr>
        <w:t xml:space="preserve"> juga </w:t>
      </w:r>
      <w:proofErr w:type="spellStart"/>
      <w:r w:rsidR="00412A43">
        <w:rPr>
          <w:rFonts w:ascii="Cambria" w:hAnsi="Cambria" w:cs="Times New Roman"/>
          <w:sz w:val="22"/>
          <w:szCs w:val="22"/>
        </w:rPr>
        <w:t>terjadi</w:t>
      </w:r>
      <w:proofErr w:type="spellEnd"/>
      <w:r w:rsidR="00412A43">
        <w:rPr>
          <w:rFonts w:ascii="Cambria" w:hAnsi="Cambria" w:cs="Times New Roman"/>
          <w:sz w:val="22"/>
          <w:szCs w:val="22"/>
        </w:rPr>
        <w:t xml:space="preserve"> pada parameter </w:t>
      </w:r>
      <w:r w:rsidR="007346E4" w:rsidRPr="007346E4">
        <w:rPr>
          <w:rFonts w:ascii="Cambria" w:hAnsi="Cambria" w:cs="Times New Roman"/>
          <w:i/>
          <w:iCs/>
          <w:sz w:val="22"/>
          <w:szCs w:val="22"/>
        </w:rPr>
        <w:t>aftertaste</w:t>
      </w:r>
      <w:r w:rsidR="00412A43">
        <w:rPr>
          <w:rFonts w:ascii="Cambria" w:hAnsi="Cambria" w:cs="Times New Roman"/>
          <w:sz w:val="22"/>
          <w:szCs w:val="22"/>
        </w:rPr>
        <w:t xml:space="preserve">, </w:t>
      </w:r>
      <w:proofErr w:type="spellStart"/>
      <w:r w:rsidR="00412A43">
        <w:rPr>
          <w:rFonts w:ascii="Cambria" w:hAnsi="Cambria" w:cs="Times New Roman"/>
          <w:sz w:val="22"/>
          <w:szCs w:val="22"/>
        </w:rPr>
        <w:t>semakin</w:t>
      </w:r>
      <w:proofErr w:type="spellEnd"/>
      <w:r w:rsidR="00412A43">
        <w:rPr>
          <w:rFonts w:ascii="Cambria" w:hAnsi="Cambria" w:cs="Times New Roman"/>
          <w:sz w:val="22"/>
          <w:szCs w:val="22"/>
        </w:rPr>
        <w:t xml:space="preserve"> </w:t>
      </w:r>
      <w:proofErr w:type="spellStart"/>
      <w:r w:rsidR="00412A43">
        <w:rPr>
          <w:rFonts w:ascii="Cambria" w:hAnsi="Cambria" w:cs="Times New Roman"/>
          <w:sz w:val="22"/>
          <w:szCs w:val="22"/>
        </w:rPr>
        <w:t>banyak</w:t>
      </w:r>
      <w:proofErr w:type="spellEnd"/>
      <w:r w:rsidR="00412A43">
        <w:rPr>
          <w:rFonts w:ascii="Cambria" w:hAnsi="Cambria" w:cs="Times New Roman"/>
          <w:sz w:val="22"/>
          <w:szCs w:val="22"/>
        </w:rPr>
        <w:t xml:space="preserve"> </w:t>
      </w:r>
      <w:proofErr w:type="spellStart"/>
      <w:r w:rsidR="00412A43">
        <w:rPr>
          <w:rFonts w:ascii="Cambria" w:hAnsi="Cambria" w:cs="Times New Roman"/>
          <w:sz w:val="22"/>
          <w:szCs w:val="22"/>
        </w:rPr>
        <w:t>komposisi</w:t>
      </w:r>
      <w:proofErr w:type="spellEnd"/>
      <w:r w:rsidR="00412A43">
        <w:rPr>
          <w:rFonts w:ascii="Cambria" w:hAnsi="Cambria" w:cs="Times New Roman"/>
          <w:sz w:val="22"/>
          <w:szCs w:val="22"/>
        </w:rPr>
        <w:t xml:space="preserve"> </w:t>
      </w:r>
      <w:proofErr w:type="spellStart"/>
      <w:r w:rsidR="00412A43">
        <w:rPr>
          <w:rFonts w:ascii="Cambria" w:hAnsi="Cambria" w:cs="Times New Roman"/>
          <w:sz w:val="22"/>
          <w:szCs w:val="22"/>
        </w:rPr>
        <w:t>tepung</w:t>
      </w:r>
      <w:proofErr w:type="spellEnd"/>
      <w:r w:rsidR="00412A43">
        <w:rPr>
          <w:rFonts w:ascii="Cambria" w:hAnsi="Cambria" w:cs="Times New Roman"/>
          <w:sz w:val="22"/>
          <w:szCs w:val="22"/>
        </w:rPr>
        <w:t xml:space="preserve"> ubi </w:t>
      </w:r>
      <w:proofErr w:type="spellStart"/>
      <w:r w:rsidR="00412A43">
        <w:rPr>
          <w:rFonts w:ascii="Cambria" w:hAnsi="Cambria" w:cs="Times New Roman"/>
          <w:sz w:val="22"/>
          <w:szCs w:val="22"/>
        </w:rPr>
        <w:t>jalar</w:t>
      </w:r>
      <w:proofErr w:type="spellEnd"/>
      <w:r w:rsidR="00AA7E5C">
        <w:rPr>
          <w:rFonts w:ascii="Cambria" w:hAnsi="Cambria" w:cs="Times New Roman"/>
          <w:sz w:val="22"/>
          <w:szCs w:val="22"/>
        </w:rPr>
        <w:t xml:space="preserve"> </w:t>
      </w:r>
      <w:proofErr w:type="spellStart"/>
      <w:r w:rsidR="00AA7E5C">
        <w:rPr>
          <w:rFonts w:ascii="Cambria" w:hAnsi="Cambria" w:cs="Times New Roman"/>
          <w:sz w:val="22"/>
          <w:szCs w:val="22"/>
        </w:rPr>
        <w:t>ungu</w:t>
      </w:r>
      <w:proofErr w:type="spellEnd"/>
      <w:r w:rsidR="00412A43">
        <w:rPr>
          <w:rFonts w:ascii="Cambria" w:hAnsi="Cambria" w:cs="Times New Roman"/>
          <w:sz w:val="22"/>
          <w:szCs w:val="22"/>
        </w:rPr>
        <w:t xml:space="preserve"> </w:t>
      </w:r>
      <w:proofErr w:type="spellStart"/>
      <w:r w:rsidR="00412A43">
        <w:rPr>
          <w:rFonts w:ascii="Cambria" w:hAnsi="Cambria" w:cs="Times New Roman"/>
          <w:sz w:val="22"/>
          <w:szCs w:val="22"/>
        </w:rPr>
        <w:t>cenderung</w:t>
      </w:r>
      <w:proofErr w:type="spellEnd"/>
      <w:r w:rsidR="00412A43">
        <w:rPr>
          <w:rFonts w:ascii="Cambria" w:hAnsi="Cambria" w:cs="Times New Roman"/>
          <w:sz w:val="22"/>
          <w:szCs w:val="22"/>
        </w:rPr>
        <w:t xml:space="preserve"> </w:t>
      </w:r>
      <w:proofErr w:type="spellStart"/>
      <w:r w:rsidR="00412A43">
        <w:rPr>
          <w:rFonts w:ascii="Cambria" w:hAnsi="Cambria" w:cs="Times New Roman"/>
          <w:sz w:val="22"/>
          <w:szCs w:val="22"/>
        </w:rPr>
        <w:t>menurunkan</w:t>
      </w:r>
      <w:proofErr w:type="spellEnd"/>
      <w:r w:rsidR="00412A43">
        <w:rPr>
          <w:rFonts w:ascii="Cambria" w:hAnsi="Cambria" w:cs="Times New Roman"/>
          <w:sz w:val="22"/>
          <w:szCs w:val="22"/>
        </w:rPr>
        <w:t xml:space="preserve"> </w:t>
      </w:r>
      <w:proofErr w:type="spellStart"/>
      <w:r w:rsidR="00AA7E5C">
        <w:rPr>
          <w:rFonts w:ascii="Cambria" w:hAnsi="Cambria" w:cs="Times New Roman"/>
          <w:sz w:val="22"/>
          <w:szCs w:val="22"/>
        </w:rPr>
        <w:t>daya</w:t>
      </w:r>
      <w:proofErr w:type="spellEnd"/>
      <w:r w:rsidR="00AA7E5C">
        <w:rPr>
          <w:rFonts w:ascii="Cambria" w:hAnsi="Cambria" w:cs="Times New Roman"/>
          <w:sz w:val="22"/>
          <w:szCs w:val="22"/>
        </w:rPr>
        <w:t xml:space="preserve"> </w:t>
      </w:r>
      <w:proofErr w:type="spellStart"/>
      <w:r w:rsidR="00AA7E5C">
        <w:rPr>
          <w:rFonts w:ascii="Cambria" w:hAnsi="Cambria" w:cs="Times New Roman"/>
          <w:sz w:val="22"/>
          <w:szCs w:val="22"/>
        </w:rPr>
        <w:t>terima</w:t>
      </w:r>
      <w:proofErr w:type="spellEnd"/>
      <w:r w:rsidR="00412A43">
        <w:rPr>
          <w:rFonts w:ascii="Cambria" w:hAnsi="Cambria" w:cs="Times New Roman"/>
          <w:sz w:val="22"/>
          <w:szCs w:val="22"/>
        </w:rPr>
        <w:t xml:space="preserve"> </w:t>
      </w:r>
      <w:proofErr w:type="spellStart"/>
      <w:r w:rsidR="00412A43">
        <w:rPr>
          <w:rFonts w:ascii="Cambria" w:hAnsi="Cambria" w:cs="Times New Roman"/>
          <w:sz w:val="22"/>
          <w:szCs w:val="22"/>
        </w:rPr>
        <w:t>panelis</w:t>
      </w:r>
      <w:proofErr w:type="spellEnd"/>
      <w:r w:rsidR="00412A43">
        <w:rPr>
          <w:rFonts w:ascii="Cambria" w:hAnsi="Cambria" w:cs="Times New Roman"/>
          <w:sz w:val="22"/>
          <w:szCs w:val="22"/>
        </w:rPr>
        <w:t>.</w:t>
      </w:r>
      <w:r w:rsidR="00A90776">
        <w:rPr>
          <w:rFonts w:ascii="Cambria" w:hAnsi="Cambria" w:cs="Times New Roman"/>
          <w:sz w:val="22"/>
          <w:szCs w:val="22"/>
        </w:rPr>
        <w:t xml:space="preserve"> </w:t>
      </w:r>
      <w:r w:rsidR="007346E4" w:rsidRPr="007346E4">
        <w:rPr>
          <w:rFonts w:ascii="Cambria" w:hAnsi="Cambria" w:cs="Times New Roman"/>
          <w:i/>
          <w:iCs/>
          <w:sz w:val="22"/>
          <w:szCs w:val="22"/>
        </w:rPr>
        <w:t>Aftertaste</w:t>
      </w:r>
      <w:r w:rsidR="00A90776">
        <w:rPr>
          <w:rFonts w:ascii="Cambria" w:hAnsi="Cambria" w:cs="Times New Roman"/>
          <w:sz w:val="22"/>
          <w:szCs w:val="22"/>
        </w:rPr>
        <w:t xml:space="preserve"> yang </w:t>
      </w:r>
      <w:proofErr w:type="spellStart"/>
      <w:r w:rsidR="00A90776">
        <w:rPr>
          <w:rFonts w:ascii="Cambria" w:hAnsi="Cambria" w:cs="Times New Roman"/>
          <w:sz w:val="22"/>
          <w:szCs w:val="22"/>
        </w:rPr>
        <w:t>terbentuk</w:t>
      </w:r>
      <w:proofErr w:type="spellEnd"/>
      <w:r w:rsidR="00A90776">
        <w:rPr>
          <w:rFonts w:ascii="Cambria" w:hAnsi="Cambria" w:cs="Times New Roman"/>
          <w:sz w:val="22"/>
          <w:szCs w:val="22"/>
        </w:rPr>
        <w:t xml:space="preserve"> pada biscuit </w:t>
      </w:r>
      <w:proofErr w:type="spellStart"/>
      <w:r w:rsidR="00A90776">
        <w:rPr>
          <w:rFonts w:ascii="Cambria" w:hAnsi="Cambria" w:cs="Times New Roman"/>
          <w:sz w:val="22"/>
          <w:szCs w:val="22"/>
        </w:rPr>
        <w:t>dapat</w:t>
      </w:r>
      <w:proofErr w:type="spellEnd"/>
      <w:r w:rsidR="00A90776">
        <w:rPr>
          <w:rFonts w:ascii="Cambria" w:hAnsi="Cambria" w:cs="Times New Roman"/>
          <w:sz w:val="22"/>
          <w:szCs w:val="22"/>
        </w:rPr>
        <w:t xml:space="preserve"> </w:t>
      </w:r>
      <w:proofErr w:type="spellStart"/>
      <w:r w:rsidR="00A90776">
        <w:rPr>
          <w:rFonts w:ascii="Cambria" w:hAnsi="Cambria" w:cs="Times New Roman"/>
          <w:sz w:val="22"/>
          <w:szCs w:val="22"/>
        </w:rPr>
        <w:t>dikarenakan</w:t>
      </w:r>
      <w:proofErr w:type="spellEnd"/>
      <w:r w:rsidR="00A90776">
        <w:rPr>
          <w:rFonts w:ascii="Cambria" w:hAnsi="Cambria" w:cs="Times New Roman"/>
          <w:sz w:val="22"/>
          <w:szCs w:val="22"/>
        </w:rPr>
        <w:t xml:space="preserve"> </w:t>
      </w:r>
      <w:proofErr w:type="spellStart"/>
      <w:r w:rsidR="00A90776">
        <w:rPr>
          <w:rFonts w:ascii="Cambria" w:hAnsi="Cambria" w:cs="Times New Roman"/>
          <w:sz w:val="22"/>
          <w:szCs w:val="22"/>
        </w:rPr>
        <w:t>kandungan</w:t>
      </w:r>
      <w:proofErr w:type="spellEnd"/>
      <w:r w:rsidR="00A90776">
        <w:rPr>
          <w:rFonts w:ascii="Cambria" w:hAnsi="Cambria" w:cs="Times New Roman"/>
          <w:sz w:val="22"/>
          <w:szCs w:val="22"/>
        </w:rPr>
        <w:t xml:space="preserve"> </w:t>
      </w:r>
      <w:proofErr w:type="spellStart"/>
      <w:r w:rsidR="00A90776">
        <w:rPr>
          <w:rFonts w:ascii="Cambria" w:hAnsi="Cambria" w:cs="Times New Roman"/>
          <w:sz w:val="22"/>
          <w:szCs w:val="22"/>
        </w:rPr>
        <w:t>antosianin</w:t>
      </w:r>
      <w:proofErr w:type="spellEnd"/>
      <w:r w:rsidR="00A90776">
        <w:rPr>
          <w:rFonts w:ascii="Cambria" w:hAnsi="Cambria" w:cs="Times New Roman"/>
          <w:sz w:val="22"/>
          <w:szCs w:val="22"/>
        </w:rPr>
        <w:t xml:space="preserve"> yang </w:t>
      </w:r>
      <w:proofErr w:type="spellStart"/>
      <w:r w:rsidR="00A90776">
        <w:rPr>
          <w:rFonts w:ascii="Cambria" w:hAnsi="Cambria" w:cs="Times New Roman"/>
          <w:sz w:val="22"/>
          <w:szCs w:val="22"/>
        </w:rPr>
        <w:t>terdapat</w:t>
      </w:r>
      <w:proofErr w:type="spellEnd"/>
      <w:r w:rsidR="00A90776">
        <w:rPr>
          <w:rFonts w:ascii="Cambria" w:hAnsi="Cambria" w:cs="Times New Roman"/>
          <w:sz w:val="22"/>
          <w:szCs w:val="22"/>
        </w:rPr>
        <w:t xml:space="preserve"> pada </w:t>
      </w:r>
      <w:proofErr w:type="spellStart"/>
      <w:r w:rsidR="00A90776">
        <w:rPr>
          <w:rFonts w:ascii="Cambria" w:hAnsi="Cambria" w:cs="Times New Roman"/>
          <w:sz w:val="22"/>
          <w:szCs w:val="22"/>
        </w:rPr>
        <w:t>tepung</w:t>
      </w:r>
      <w:proofErr w:type="spellEnd"/>
      <w:r w:rsidR="00A90776">
        <w:rPr>
          <w:rFonts w:ascii="Cambria" w:hAnsi="Cambria" w:cs="Times New Roman"/>
          <w:sz w:val="22"/>
          <w:szCs w:val="22"/>
        </w:rPr>
        <w:t xml:space="preserve"> ubi </w:t>
      </w:r>
      <w:proofErr w:type="spellStart"/>
      <w:r w:rsidR="00A90776">
        <w:rPr>
          <w:rFonts w:ascii="Cambria" w:hAnsi="Cambria" w:cs="Times New Roman"/>
          <w:sz w:val="22"/>
          <w:szCs w:val="22"/>
        </w:rPr>
        <w:t>jalar</w:t>
      </w:r>
      <w:proofErr w:type="spellEnd"/>
      <w:r w:rsidR="00A90776">
        <w:rPr>
          <w:rFonts w:ascii="Cambria" w:hAnsi="Cambria" w:cs="Times New Roman"/>
          <w:sz w:val="22"/>
          <w:szCs w:val="22"/>
        </w:rPr>
        <w:t xml:space="preserve"> </w:t>
      </w:r>
      <w:proofErr w:type="spellStart"/>
      <w:r w:rsidR="00A90776">
        <w:rPr>
          <w:rFonts w:ascii="Cambria" w:hAnsi="Cambria" w:cs="Times New Roman"/>
          <w:sz w:val="22"/>
          <w:szCs w:val="22"/>
        </w:rPr>
        <w:t>ungu</w:t>
      </w:r>
      <w:proofErr w:type="spellEnd"/>
      <w:r w:rsidR="00A90776">
        <w:rPr>
          <w:rFonts w:ascii="Cambria" w:hAnsi="Cambria" w:cs="Times New Roman"/>
          <w:sz w:val="22"/>
          <w:szCs w:val="22"/>
        </w:rPr>
        <w:t xml:space="preserve">. </w:t>
      </w:r>
      <w:proofErr w:type="spellStart"/>
      <w:r w:rsidR="00A90776">
        <w:rPr>
          <w:rFonts w:ascii="Cambria" w:hAnsi="Cambria" w:cs="Times New Roman"/>
          <w:sz w:val="22"/>
          <w:szCs w:val="22"/>
        </w:rPr>
        <w:t>Kandungan</w:t>
      </w:r>
      <w:proofErr w:type="spellEnd"/>
      <w:r w:rsidR="00A90776">
        <w:rPr>
          <w:rFonts w:ascii="Cambria" w:hAnsi="Cambria" w:cs="Times New Roman"/>
          <w:sz w:val="22"/>
          <w:szCs w:val="22"/>
        </w:rPr>
        <w:t xml:space="preserve"> </w:t>
      </w:r>
      <w:proofErr w:type="spellStart"/>
      <w:r w:rsidR="00A90776">
        <w:rPr>
          <w:rFonts w:ascii="Cambria" w:hAnsi="Cambria" w:cs="Times New Roman"/>
          <w:sz w:val="22"/>
          <w:szCs w:val="22"/>
        </w:rPr>
        <w:t>antosianin</w:t>
      </w:r>
      <w:proofErr w:type="spellEnd"/>
      <w:r w:rsidR="00A90776">
        <w:rPr>
          <w:rFonts w:ascii="Cambria" w:hAnsi="Cambria" w:cs="Times New Roman"/>
          <w:sz w:val="22"/>
          <w:szCs w:val="22"/>
        </w:rPr>
        <w:t xml:space="preserve"> </w:t>
      </w:r>
      <w:r w:rsidR="00DB17AA">
        <w:rPr>
          <w:rFonts w:ascii="Cambria" w:hAnsi="Cambria" w:cs="Times New Roman"/>
          <w:sz w:val="22"/>
          <w:szCs w:val="22"/>
        </w:rPr>
        <w:t xml:space="preserve">pada ubi </w:t>
      </w:r>
      <w:proofErr w:type="spellStart"/>
      <w:r w:rsidR="00DB17AA">
        <w:rPr>
          <w:rFonts w:ascii="Cambria" w:hAnsi="Cambria" w:cs="Times New Roman"/>
          <w:sz w:val="22"/>
          <w:szCs w:val="22"/>
        </w:rPr>
        <w:t>jalar</w:t>
      </w:r>
      <w:proofErr w:type="spellEnd"/>
      <w:r w:rsidR="00DB17AA">
        <w:rPr>
          <w:rFonts w:ascii="Cambria" w:hAnsi="Cambria" w:cs="Times New Roman"/>
          <w:sz w:val="22"/>
          <w:szCs w:val="22"/>
        </w:rPr>
        <w:t xml:space="preserve"> </w:t>
      </w:r>
      <w:proofErr w:type="spellStart"/>
      <w:r w:rsidR="00DB17AA">
        <w:rPr>
          <w:rFonts w:ascii="Cambria" w:hAnsi="Cambria" w:cs="Times New Roman"/>
          <w:sz w:val="22"/>
          <w:szCs w:val="22"/>
        </w:rPr>
        <w:t>ungu</w:t>
      </w:r>
      <w:proofErr w:type="spellEnd"/>
      <w:r w:rsidR="00DB17AA">
        <w:rPr>
          <w:rFonts w:ascii="Cambria" w:hAnsi="Cambria" w:cs="Times New Roman"/>
          <w:sz w:val="22"/>
          <w:szCs w:val="22"/>
        </w:rPr>
        <w:t xml:space="preserve"> segar </w:t>
      </w:r>
      <w:proofErr w:type="spellStart"/>
      <w:r w:rsidR="00AA7E5C">
        <w:rPr>
          <w:rFonts w:ascii="Cambria" w:hAnsi="Cambria" w:cs="Times New Roman"/>
          <w:sz w:val="22"/>
          <w:szCs w:val="22"/>
        </w:rPr>
        <w:t>cukup</w:t>
      </w:r>
      <w:proofErr w:type="spellEnd"/>
      <w:r w:rsidR="00AA7E5C">
        <w:rPr>
          <w:rFonts w:ascii="Cambria" w:hAnsi="Cambria" w:cs="Times New Roman"/>
          <w:sz w:val="22"/>
          <w:szCs w:val="22"/>
        </w:rPr>
        <w:t xml:space="preserve"> </w:t>
      </w:r>
      <w:proofErr w:type="spellStart"/>
      <w:r w:rsidR="00AA7E5C">
        <w:rPr>
          <w:rFonts w:ascii="Cambria" w:hAnsi="Cambria" w:cs="Times New Roman"/>
          <w:sz w:val="22"/>
          <w:szCs w:val="22"/>
        </w:rPr>
        <w:t>tinggi</w:t>
      </w:r>
      <w:proofErr w:type="spellEnd"/>
      <w:r w:rsidR="00AA7E5C">
        <w:rPr>
          <w:rFonts w:ascii="Cambria" w:hAnsi="Cambria" w:cs="Times New Roman"/>
          <w:sz w:val="22"/>
          <w:szCs w:val="22"/>
        </w:rPr>
        <w:t xml:space="preserve"> </w:t>
      </w:r>
      <w:proofErr w:type="spellStart"/>
      <w:r w:rsidR="00AA7E5C">
        <w:rPr>
          <w:rFonts w:ascii="Cambria" w:hAnsi="Cambria" w:cs="Times New Roman"/>
          <w:sz w:val="22"/>
          <w:szCs w:val="22"/>
        </w:rPr>
        <w:t>yakni</w:t>
      </w:r>
      <w:proofErr w:type="spellEnd"/>
      <w:r w:rsidR="00AA7E5C">
        <w:rPr>
          <w:rFonts w:ascii="Cambria" w:hAnsi="Cambria" w:cs="Times New Roman"/>
          <w:sz w:val="22"/>
          <w:szCs w:val="22"/>
        </w:rPr>
        <w:t xml:space="preserve"> </w:t>
      </w:r>
      <w:proofErr w:type="spellStart"/>
      <w:r w:rsidR="00DB17AA">
        <w:rPr>
          <w:rFonts w:ascii="Cambria" w:hAnsi="Cambria" w:cs="Times New Roman"/>
          <w:sz w:val="22"/>
          <w:szCs w:val="22"/>
        </w:rPr>
        <w:t>berkisar</w:t>
      </w:r>
      <w:proofErr w:type="spellEnd"/>
      <w:r w:rsidR="00DB17AA">
        <w:rPr>
          <w:rFonts w:ascii="Cambria" w:hAnsi="Cambria" w:cs="Times New Roman"/>
          <w:sz w:val="22"/>
          <w:szCs w:val="22"/>
        </w:rPr>
        <w:t xml:space="preserve"> 3,51-61,85 mg/100g</w:t>
      </w:r>
      <w:r w:rsidR="00A90776">
        <w:rPr>
          <w:rFonts w:ascii="Cambria" w:hAnsi="Cambria" w:cs="Times New Roman"/>
          <w:sz w:val="22"/>
          <w:szCs w:val="22"/>
        </w:rPr>
        <w:t xml:space="preserve"> </w:t>
      </w:r>
      <w:r w:rsidR="00A90776">
        <w:rPr>
          <w:rFonts w:ascii="Cambria" w:hAnsi="Cambria" w:cs="Times New Roman"/>
          <w:sz w:val="22"/>
          <w:szCs w:val="22"/>
        </w:rPr>
        <w:fldChar w:fldCharType="begin" w:fldLock="1"/>
      </w:r>
      <w:r w:rsidR="00213308">
        <w:rPr>
          <w:rFonts w:ascii="Cambria" w:hAnsi="Cambria" w:cs="Times New Roman"/>
          <w:sz w:val="22"/>
          <w:szCs w:val="22"/>
        </w:rPr>
        <w:instrText>ADDIN CSL_CITATION {"citationItems":[{"id":"ITEM-1","itemData":{"DOI":"10.22146/agritech.9551","ISSN":"2527-3825","abstract":"ABSTRAK Ubi jalar ungu potensial sebagai sumber antosianin yang dapat berfungsi sebagai antioksidan, antimutagenik, dan antikarsinogenik. Antosianin dapat rusak akibat suhu tinggi (pemanasan) yang biasa digunakan dalam pembuatan sejumlah produk olahan ubi jalar. Penelitian ini bertujuan untuk mengkaji pengurangan/kehilangan antosianin pada produk olahan ubi jalar (tepung, keripik, ubi jalar kukus, rebus, dan goreng) dari dua jenis ubi jalar ungu lokal di Saree, Aceh Besar (ungu muda dan ungu pekat) sehingga dapat memberikan informasi proses pengolahan yang paling dapat mempertahankan kandungan antosianin. Penelitian disusun dengan Rancangan Acak Kelompok (RAK) faktorial 2 faktor, yaitu jenis ubi jalar ungu dan jenis produk olahan ubi jalar. Parameter analisis utama adalah kandungan antosianin dan aktivitas antioksidan. Ubi jalar ungu pekat mengandung antosianin 61,85 mg/100 g, 17 kali lebih tinggi dibandingkan dengan kandungan antosianin ubi jalar ungu muda 3,51 mg/100 g. Ubi jalar ungu pekat memiliki aktivitas antioksidan 59,25 %, lebih besar dibandingkan dengan ubi jalar ungu muda 56,64 %. Penurunan kandungan antosianin pada produk olahan dari kedua jenis ubi jalar menunjukkan kecenderungan yang sama. Produk olahan ubi jalar ungu yang paling mampu mempertahankan kandungan antosianin diperoleh pada ubi kukus yaitu 34,14 % (ungu pekat) dan 42,16 % (ungu muda), sedangkan tingkat penurunan tertinggi diperoleh pada produk keripik yaitu 95,21 % (ungu pekat) dan 88,47% (ungu muda). Penurunan aktivitas antioksidan juga berbanding lurus dengan penurunan kadar antosianin pada semua produk olahan, kecuali pada produk olahan keripik","author":[{"dropping-particle":"El","family":"Husna","given":"Nida","non-dropping-particle":"","parse-names":false,"suffix":""},{"dropping-particle":"","family":"Novita","given":"Melly","non-dropping-particle":"","parse-names":false,"suffix":""},{"dropping-particle":"","family":"Rohaya","given":"Syarifah","non-dropping-particle":"","parse-names":false,"suffix":""}],"container-title":"Agritech","id":"ITEM-1","issue":"03","issued":{"date-parts":[["2013"]]},"page":"296-302","title":"Kandungan Antosianin dan Aktivitas Antioksidan Ubi Jalar Ungu Segar dan Produk Olahannya","type":"article-journal","volume":"33"},"uris":["http://www.mendeley.com/documents/?uuid=44644447-f5c3-41fc-9b80-110a8beb2351"]}],"mendeley":{"formattedCitation":"(Husna et al., 2013)","plainTextFormattedCitation":"(Husna et al., 2013)","previouslyFormattedCitation":"(Husna et al., 2013)"},"properties":{"noteIndex":0},"schema":"https://github.com/citation-style-language/schema/raw/master/csl-citation.json"}</w:instrText>
      </w:r>
      <w:r w:rsidR="00A90776">
        <w:rPr>
          <w:rFonts w:ascii="Cambria" w:hAnsi="Cambria" w:cs="Times New Roman"/>
          <w:sz w:val="22"/>
          <w:szCs w:val="22"/>
        </w:rPr>
        <w:fldChar w:fldCharType="separate"/>
      </w:r>
      <w:r w:rsidR="00A90776" w:rsidRPr="00A90776">
        <w:rPr>
          <w:rFonts w:ascii="Cambria" w:hAnsi="Cambria" w:cs="Times New Roman"/>
          <w:noProof/>
          <w:sz w:val="22"/>
          <w:szCs w:val="22"/>
        </w:rPr>
        <w:t>(Husna et al., 2013)</w:t>
      </w:r>
      <w:r w:rsidR="00A90776">
        <w:rPr>
          <w:rFonts w:ascii="Cambria" w:hAnsi="Cambria" w:cs="Times New Roman"/>
          <w:sz w:val="22"/>
          <w:szCs w:val="22"/>
        </w:rPr>
        <w:fldChar w:fldCharType="end"/>
      </w:r>
      <w:r w:rsidR="00DB17AA">
        <w:rPr>
          <w:rFonts w:ascii="Cambria" w:hAnsi="Cambria" w:cs="Times New Roman"/>
          <w:sz w:val="22"/>
          <w:szCs w:val="22"/>
        </w:rPr>
        <w:t>.</w:t>
      </w:r>
      <w:r w:rsidR="00AA7E5C">
        <w:rPr>
          <w:rFonts w:ascii="Cambria" w:hAnsi="Cambria" w:cs="Times New Roman"/>
          <w:sz w:val="22"/>
          <w:szCs w:val="22"/>
        </w:rPr>
        <w:t xml:space="preserve"> </w:t>
      </w:r>
    </w:p>
    <w:p w14:paraId="048B3326" w14:textId="77777777" w:rsidR="005259FA" w:rsidRPr="007741CF" w:rsidRDefault="005259FA" w:rsidP="007741CF">
      <w:pPr>
        <w:pStyle w:val="Default"/>
        <w:jc w:val="both"/>
        <w:rPr>
          <w:rFonts w:ascii="Cambria" w:hAnsi="Cambria" w:cs="Times New Roman"/>
          <w:sz w:val="22"/>
          <w:szCs w:val="22"/>
        </w:rPr>
      </w:pPr>
    </w:p>
    <w:p w14:paraId="00069820" w14:textId="191361FF" w:rsidR="005A0D1F" w:rsidRPr="00F03C4C" w:rsidRDefault="005A0D1F" w:rsidP="00F03C4C">
      <w:pPr>
        <w:pStyle w:val="Default"/>
        <w:rPr>
          <w:rFonts w:ascii="Cambria" w:hAnsi="Cambria" w:cs="Times New Roman"/>
          <w:sz w:val="22"/>
          <w:szCs w:val="22"/>
        </w:rPr>
      </w:pPr>
      <w:r w:rsidRPr="00F03C4C">
        <w:rPr>
          <w:rFonts w:ascii="Cambria" w:hAnsi="Cambria" w:cs="Times New Roman"/>
          <w:b/>
          <w:bCs/>
          <w:sz w:val="22"/>
          <w:szCs w:val="22"/>
        </w:rPr>
        <w:t>Mutu</w:t>
      </w:r>
      <w:r w:rsidR="00AA7E5C">
        <w:rPr>
          <w:rFonts w:ascii="Cambria" w:hAnsi="Cambria" w:cs="Times New Roman"/>
          <w:b/>
          <w:bCs/>
          <w:sz w:val="22"/>
          <w:szCs w:val="22"/>
        </w:rPr>
        <w:t xml:space="preserve"> </w:t>
      </w:r>
      <w:proofErr w:type="spellStart"/>
      <w:r w:rsidR="00AA7E5C">
        <w:rPr>
          <w:rFonts w:ascii="Cambria" w:hAnsi="Cambria" w:cs="Times New Roman"/>
          <w:b/>
          <w:bCs/>
          <w:sz w:val="22"/>
          <w:szCs w:val="22"/>
        </w:rPr>
        <w:t>Biskuit</w:t>
      </w:r>
      <w:proofErr w:type="spellEnd"/>
      <w:r w:rsidRPr="00F03C4C">
        <w:rPr>
          <w:rFonts w:ascii="Cambria" w:hAnsi="Cambria" w:cs="Times New Roman"/>
          <w:b/>
          <w:bCs/>
          <w:i/>
          <w:iCs/>
          <w:sz w:val="22"/>
          <w:szCs w:val="22"/>
        </w:rPr>
        <w:t xml:space="preserve"> </w:t>
      </w:r>
    </w:p>
    <w:p w14:paraId="21C79FD4" w14:textId="240EF810" w:rsidR="004B19A3" w:rsidRDefault="005A0D1F" w:rsidP="00AE6C57">
      <w:pPr>
        <w:spacing w:after="0" w:line="240" w:lineRule="auto"/>
        <w:ind w:firstLine="720"/>
        <w:jc w:val="both"/>
        <w:rPr>
          <w:rFonts w:ascii="Cambria" w:hAnsi="Cambria" w:cs="Times New Roman"/>
        </w:rPr>
      </w:pPr>
      <w:r w:rsidRPr="00F03C4C">
        <w:rPr>
          <w:rFonts w:ascii="Cambria" w:hAnsi="Cambria" w:cs="Times New Roman"/>
        </w:rPr>
        <w:t>Mutu</w:t>
      </w:r>
      <w:r w:rsidR="00B170C0">
        <w:rPr>
          <w:rFonts w:ascii="Cambria" w:hAnsi="Cambria" w:cs="Times New Roman"/>
        </w:rPr>
        <w:t xml:space="preserve"> biscuit </w:t>
      </w:r>
      <w:proofErr w:type="spellStart"/>
      <w:r w:rsidR="00B170C0">
        <w:rPr>
          <w:rFonts w:ascii="Cambria" w:hAnsi="Cambria" w:cs="Times New Roman"/>
        </w:rPr>
        <w:t>rempah</w:t>
      </w:r>
      <w:proofErr w:type="spellEnd"/>
      <w:r w:rsidR="00B170C0">
        <w:rPr>
          <w:rFonts w:ascii="Cambria" w:hAnsi="Cambria" w:cs="Times New Roman"/>
        </w:rPr>
        <w:t xml:space="preserve"> yang </w:t>
      </w:r>
      <w:proofErr w:type="spellStart"/>
      <w:r w:rsidR="00B170C0">
        <w:rPr>
          <w:rFonts w:ascii="Cambria" w:hAnsi="Cambria" w:cs="Times New Roman"/>
        </w:rPr>
        <w:t>dihasilkan</w:t>
      </w:r>
      <w:proofErr w:type="spellEnd"/>
      <w:r w:rsidR="00B170C0">
        <w:rPr>
          <w:rFonts w:ascii="Cambria" w:hAnsi="Cambria" w:cs="Times New Roman"/>
        </w:rPr>
        <w:t xml:space="preserve"> </w:t>
      </w:r>
      <w:proofErr w:type="spellStart"/>
      <w:r w:rsidR="00B170C0">
        <w:rPr>
          <w:rFonts w:ascii="Cambria" w:hAnsi="Cambria" w:cs="Times New Roman"/>
        </w:rPr>
        <w:t>dianalisis</w:t>
      </w:r>
      <w:proofErr w:type="spellEnd"/>
      <w:r w:rsidR="00B170C0">
        <w:rPr>
          <w:rFonts w:ascii="Cambria" w:hAnsi="Cambria" w:cs="Times New Roman"/>
        </w:rPr>
        <w:t xml:space="preserve"> </w:t>
      </w:r>
      <w:proofErr w:type="spellStart"/>
      <w:r w:rsidR="00B170C0">
        <w:rPr>
          <w:rFonts w:ascii="Cambria" w:hAnsi="Cambria" w:cs="Times New Roman"/>
        </w:rPr>
        <w:t>dengan</w:t>
      </w:r>
      <w:proofErr w:type="spellEnd"/>
      <w:r w:rsidR="00B170C0">
        <w:rPr>
          <w:rFonts w:ascii="Cambria" w:hAnsi="Cambria" w:cs="Times New Roman"/>
        </w:rPr>
        <w:t xml:space="preserve"> uji </w:t>
      </w:r>
      <w:proofErr w:type="spellStart"/>
      <w:r w:rsidR="00B170C0">
        <w:rPr>
          <w:rFonts w:ascii="Cambria" w:hAnsi="Cambria" w:cs="Times New Roman"/>
        </w:rPr>
        <w:t>mutu</w:t>
      </w:r>
      <w:proofErr w:type="spellEnd"/>
      <w:r w:rsidRPr="00F03C4C">
        <w:rPr>
          <w:rFonts w:ascii="Cambria" w:hAnsi="Cambria" w:cs="Times New Roman"/>
        </w:rPr>
        <w:t xml:space="preserve"> </w:t>
      </w:r>
      <w:proofErr w:type="spellStart"/>
      <w:r w:rsidRPr="00F03C4C">
        <w:rPr>
          <w:rFonts w:ascii="Cambria" w:hAnsi="Cambria" w:cs="Times New Roman"/>
        </w:rPr>
        <w:t>hedonik</w:t>
      </w:r>
      <w:proofErr w:type="spellEnd"/>
      <w:r w:rsidRPr="00F03C4C">
        <w:rPr>
          <w:rFonts w:ascii="Cambria" w:hAnsi="Cambria" w:cs="Times New Roman"/>
        </w:rPr>
        <w:t xml:space="preserve"> </w:t>
      </w:r>
      <w:proofErr w:type="spellStart"/>
      <w:r w:rsidRPr="00F03C4C">
        <w:rPr>
          <w:rFonts w:ascii="Cambria" w:hAnsi="Cambria" w:cs="Times New Roman"/>
        </w:rPr>
        <w:t>untuk</w:t>
      </w:r>
      <w:proofErr w:type="spellEnd"/>
      <w:r w:rsidRPr="00F03C4C">
        <w:rPr>
          <w:rFonts w:ascii="Cambria" w:hAnsi="Cambria" w:cs="Times New Roman"/>
        </w:rPr>
        <w:t xml:space="preserve"> </w:t>
      </w:r>
      <w:proofErr w:type="spellStart"/>
      <w:r w:rsidRPr="00F03C4C">
        <w:rPr>
          <w:rFonts w:ascii="Cambria" w:hAnsi="Cambria" w:cs="Times New Roman"/>
        </w:rPr>
        <w:t>mengetahui</w:t>
      </w:r>
      <w:proofErr w:type="spellEnd"/>
      <w:r w:rsidRPr="00F03C4C">
        <w:rPr>
          <w:rFonts w:ascii="Cambria" w:hAnsi="Cambria" w:cs="Times New Roman"/>
        </w:rPr>
        <w:t xml:space="preserve"> </w:t>
      </w:r>
      <w:proofErr w:type="spellStart"/>
      <w:r w:rsidRPr="00F03C4C">
        <w:rPr>
          <w:rFonts w:ascii="Cambria" w:hAnsi="Cambria" w:cs="Times New Roman"/>
        </w:rPr>
        <w:t>karakteristik</w:t>
      </w:r>
      <w:proofErr w:type="spellEnd"/>
      <w:r w:rsidRPr="00F03C4C">
        <w:rPr>
          <w:rFonts w:ascii="Cambria" w:hAnsi="Cambria" w:cs="Times New Roman"/>
        </w:rPr>
        <w:t xml:space="preserve"> </w:t>
      </w:r>
      <w:proofErr w:type="spellStart"/>
      <w:r w:rsidR="0063512D">
        <w:rPr>
          <w:rFonts w:ascii="Cambria" w:hAnsi="Cambria" w:cs="Times New Roman"/>
        </w:rPr>
        <w:t>biskuit</w:t>
      </w:r>
      <w:proofErr w:type="spellEnd"/>
      <w:r w:rsidRPr="00F03C4C">
        <w:rPr>
          <w:rFonts w:ascii="Cambria" w:hAnsi="Cambria" w:cs="Times New Roman"/>
        </w:rPr>
        <w:t xml:space="preserve"> </w:t>
      </w:r>
      <w:proofErr w:type="spellStart"/>
      <w:r w:rsidRPr="00F03C4C">
        <w:rPr>
          <w:rFonts w:ascii="Cambria" w:hAnsi="Cambria" w:cs="Times New Roman"/>
        </w:rPr>
        <w:t>rempah</w:t>
      </w:r>
      <w:proofErr w:type="spellEnd"/>
      <w:r w:rsidRPr="00F03C4C">
        <w:rPr>
          <w:rFonts w:ascii="Cambria" w:hAnsi="Cambria" w:cs="Times New Roman"/>
        </w:rPr>
        <w:t xml:space="preserve"> </w:t>
      </w:r>
      <w:proofErr w:type="spellStart"/>
      <w:r w:rsidR="00B170C0">
        <w:rPr>
          <w:rFonts w:ascii="Cambria" w:hAnsi="Cambria" w:cs="Times New Roman"/>
        </w:rPr>
        <w:t>melipputi</w:t>
      </w:r>
      <w:proofErr w:type="spellEnd"/>
      <w:r w:rsidR="00B170C0">
        <w:rPr>
          <w:rFonts w:ascii="Cambria" w:hAnsi="Cambria" w:cs="Times New Roman"/>
        </w:rPr>
        <w:t xml:space="preserve"> </w:t>
      </w:r>
      <w:proofErr w:type="spellStart"/>
      <w:r w:rsidRPr="00F03C4C">
        <w:rPr>
          <w:rFonts w:ascii="Cambria" w:hAnsi="Cambria" w:cs="Times New Roman"/>
        </w:rPr>
        <w:t>mutu</w:t>
      </w:r>
      <w:proofErr w:type="spellEnd"/>
      <w:r w:rsidRPr="00F03C4C">
        <w:rPr>
          <w:rFonts w:ascii="Cambria" w:hAnsi="Cambria" w:cs="Times New Roman"/>
        </w:rPr>
        <w:t xml:space="preserve"> </w:t>
      </w:r>
      <w:proofErr w:type="spellStart"/>
      <w:r w:rsidRPr="00F03C4C">
        <w:rPr>
          <w:rFonts w:ascii="Cambria" w:hAnsi="Cambria" w:cs="Times New Roman"/>
        </w:rPr>
        <w:t>warna</w:t>
      </w:r>
      <w:proofErr w:type="spellEnd"/>
      <w:r w:rsidRPr="00F03C4C">
        <w:rPr>
          <w:rFonts w:ascii="Cambria" w:hAnsi="Cambria" w:cs="Times New Roman"/>
        </w:rPr>
        <w:t xml:space="preserve">, aroma, rasa, </w:t>
      </w:r>
      <w:proofErr w:type="spellStart"/>
      <w:r w:rsidRPr="00F03C4C">
        <w:rPr>
          <w:rFonts w:ascii="Cambria" w:hAnsi="Cambria" w:cs="Times New Roman"/>
        </w:rPr>
        <w:t>tekstur</w:t>
      </w:r>
      <w:proofErr w:type="spellEnd"/>
      <w:r w:rsidRPr="00F03C4C">
        <w:rPr>
          <w:rFonts w:ascii="Cambria" w:hAnsi="Cambria" w:cs="Times New Roman"/>
        </w:rPr>
        <w:t xml:space="preserve"> dan </w:t>
      </w:r>
      <w:r w:rsidR="007346E4" w:rsidRPr="007346E4">
        <w:rPr>
          <w:rFonts w:ascii="Cambria" w:hAnsi="Cambria" w:cs="Times New Roman"/>
          <w:i/>
          <w:iCs/>
        </w:rPr>
        <w:t>aftertaste</w:t>
      </w:r>
      <w:r w:rsidR="00B170C0">
        <w:rPr>
          <w:rFonts w:ascii="Cambria" w:hAnsi="Cambria" w:cs="Times New Roman"/>
        </w:rPr>
        <w:t>.</w:t>
      </w:r>
      <w:r w:rsidRPr="00F03C4C">
        <w:rPr>
          <w:rFonts w:ascii="Cambria" w:hAnsi="Cambria" w:cs="Times New Roman"/>
        </w:rPr>
        <w:t xml:space="preserve"> Nilai rata-rata </w:t>
      </w:r>
      <w:proofErr w:type="spellStart"/>
      <w:r w:rsidRPr="00F03C4C">
        <w:rPr>
          <w:rFonts w:ascii="Cambria" w:hAnsi="Cambria" w:cs="Times New Roman"/>
        </w:rPr>
        <w:t>hasil</w:t>
      </w:r>
      <w:proofErr w:type="spellEnd"/>
      <w:r w:rsidRPr="00F03C4C">
        <w:rPr>
          <w:rFonts w:ascii="Cambria" w:hAnsi="Cambria" w:cs="Times New Roman"/>
        </w:rPr>
        <w:t xml:space="preserve"> uji </w:t>
      </w:r>
      <w:proofErr w:type="spellStart"/>
      <w:r w:rsidRPr="00F03C4C">
        <w:rPr>
          <w:rFonts w:ascii="Cambria" w:hAnsi="Cambria" w:cs="Times New Roman"/>
        </w:rPr>
        <w:t>mutu</w:t>
      </w:r>
      <w:proofErr w:type="spellEnd"/>
      <w:r w:rsidRPr="00F03C4C">
        <w:rPr>
          <w:rFonts w:ascii="Cambria" w:hAnsi="Cambria" w:cs="Times New Roman"/>
        </w:rPr>
        <w:t xml:space="preserve"> </w:t>
      </w:r>
      <w:proofErr w:type="spellStart"/>
      <w:r w:rsidRPr="00F03C4C">
        <w:rPr>
          <w:rFonts w:ascii="Cambria" w:hAnsi="Cambria" w:cs="Times New Roman"/>
        </w:rPr>
        <w:t>hedonik</w:t>
      </w:r>
      <w:proofErr w:type="spellEnd"/>
      <w:r w:rsidRPr="00F03C4C">
        <w:rPr>
          <w:rFonts w:ascii="Cambria" w:hAnsi="Cambria" w:cs="Times New Roman"/>
        </w:rPr>
        <w:t xml:space="preserve"> pada </w:t>
      </w:r>
      <w:proofErr w:type="spellStart"/>
      <w:r w:rsidRPr="00F03C4C">
        <w:rPr>
          <w:rFonts w:ascii="Cambria" w:hAnsi="Cambria" w:cs="Times New Roman"/>
        </w:rPr>
        <w:t>setiap</w:t>
      </w:r>
      <w:proofErr w:type="spellEnd"/>
      <w:r w:rsidRPr="00F03C4C">
        <w:rPr>
          <w:rFonts w:ascii="Cambria" w:hAnsi="Cambria" w:cs="Times New Roman"/>
        </w:rPr>
        <w:t xml:space="preserve"> formula </w:t>
      </w:r>
      <w:proofErr w:type="spellStart"/>
      <w:r w:rsidRPr="00F03C4C">
        <w:rPr>
          <w:rFonts w:ascii="Cambria" w:hAnsi="Cambria" w:cs="Times New Roman"/>
        </w:rPr>
        <w:t>dapat</w:t>
      </w:r>
      <w:proofErr w:type="spellEnd"/>
      <w:r w:rsidRPr="00F03C4C">
        <w:rPr>
          <w:rFonts w:ascii="Cambria" w:hAnsi="Cambria" w:cs="Times New Roman"/>
        </w:rPr>
        <w:t xml:space="preserve"> </w:t>
      </w:r>
      <w:proofErr w:type="spellStart"/>
      <w:r w:rsidRPr="00F03C4C">
        <w:rPr>
          <w:rFonts w:ascii="Cambria" w:hAnsi="Cambria" w:cs="Times New Roman"/>
        </w:rPr>
        <w:t>dilihat</w:t>
      </w:r>
      <w:proofErr w:type="spellEnd"/>
      <w:r w:rsidRPr="00F03C4C">
        <w:rPr>
          <w:rFonts w:ascii="Cambria" w:hAnsi="Cambria" w:cs="Times New Roman"/>
        </w:rPr>
        <w:t xml:space="preserve"> pada Tabel 3.</w:t>
      </w:r>
    </w:p>
    <w:p w14:paraId="1D1E4745" w14:textId="77777777" w:rsidR="00D824F8" w:rsidRDefault="00D824F8" w:rsidP="00AE6C57">
      <w:pPr>
        <w:spacing w:after="0" w:line="240" w:lineRule="auto"/>
        <w:ind w:firstLine="720"/>
        <w:jc w:val="both"/>
        <w:rPr>
          <w:rFonts w:ascii="Cambria" w:hAnsi="Cambria" w:cs="Times New Roman"/>
        </w:rPr>
      </w:pPr>
    </w:p>
    <w:p w14:paraId="53E1FB2C" w14:textId="29CDA569" w:rsidR="005A0D1F" w:rsidRPr="00F03C4C" w:rsidRDefault="005A0D1F" w:rsidP="00F03C4C">
      <w:pPr>
        <w:spacing w:after="0" w:line="240" w:lineRule="auto"/>
        <w:rPr>
          <w:rFonts w:ascii="Cambria" w:hAnsi="Cambria" w:cs="Times New Roman"/>
        </w:rPr>
      </w:pPr>
      <w:r w:rsidRPr="00F03C4C">
        <w:rPr>
          <w:rFonts w:ascii="Cambria" w:hAnsi="Cambria" w:cs="Times New Roman"/>
        </w:rPr>
        <w:t xml:space="preserve">Tabel 3. </w:t>
      </w:r>
      <w:r w:rsidR="00B170C0">
        <w:rPr>
          <w:rFonts w:ascii="Cambria" w:hAnsi="Cambria" w:cs="Times New Roman"/>
        </w:rPr>
        <w:t xml:space="preserve">Rata-rata </w:t>
      </w:r>
      <w:proofErr w:type="spellStart"/>
      <w:r w:rsidR="00B170C0">
        <w:rPr>
          <w:rFonts w:ascii="Cambria" w:hAnsi="Cambria" w:cs="Times New Roman"/>
        </w:rPr>
        <w:t>nilai</w:t>
      </w:r>
      <w:proofErr w:type="spellEnd"/>
      <w:r w:rsidR="00B170C0">
        <w:rPr>
          <w:rFonts w:ascii="Cambria" w:hAnsi="Cambria" w:cs="Times New Roman"/>
        </w:rPr>
        <w:t xml:space="preserve"> </w:t>
      </w:r>
      <w:proofErr w:type="spellStart"/>
      <w:r w:rsidR="00B170C0">
        <w:rPr>
          <w:rFonts w:ascii="Cambria" w:hAnsi="Cambria" w:cs="Times New Roman"/>
        </w:rPr>
        <w:t>atribut</w:t>
      </w:r>
      <w:proofErr w:type="spellEnd"/>
      <w:r w:rsidR="00B170C0">
        <w:rPr>
          <w:rFonts w:ascii="Cambria" w:hAnsi="Cambria" w:cs="Times New Roman"/>
        </w:rPr>
        <w:t xml:space="preserve"> </w:t>
      </w:r>
      <w:proofErr w:type="spellStart"/>
      <w:r w:rsidRPr="00F03C4C">
        <w:rPr>
          <w:rFonts w:ascii="Cambria" w:hAnsi="Cambria" w:cs="Times New Roman"/>
        </w:rPr>
        <w:t>mutu</w:t>
      </w:r>
      <w:proofErr w:type="spellEnd"/>
      <w:r w:rsidRPr="00F03C4C">
        <w:rPr>
          <w:rFonts w:ascii="Cambria" w:hAnsi="Cambria" w:cs="Times New Roman"/>
        </w:rPr>
        <w:t xml:space="preserve"> hedonic </w:t>
      </w:r>
      <w:commentRangeStart w:id="17"/>
      <w:proofErr w:type="spellStart"/>
      <w:r w:rsidR="0063512D">
        <w:rPr>
          <w:rFonts w:ascii="Cambria" w:hAnsi="Cambria" w:cs="Times New Roman"/>
        </w:rPr>
        <w:t>biskuit</w:t>
      </w:r>
      <w:commentRangeEnd w:id="17"/>
      <w:proofErr w:type="spellEnd"/>
      <w:r w:rsidR="005259FA">
        <w:rPr>
          <w:rStyle w:val="CommentReference"/>
        </w:rPr>
        <w:commentReference w:id="17"/>
      </w:r>
    </w:p>
    <w:tbl>
      <w:tblPr>
        <w:tblW w:w="4614" w:type="dxa"/>
        <w:tblBorders>
          <w:top w:val="single" w:sz="4" w:space="0" w:color="auto"/>
          <w:bottom w:val="single" w:sz="4" w:space="0" w:color="auto"/>
        </w:tblBorders>
        <w:tblLook w:val="04A0" w:firstRow="1" w:lastRow="0" w:firstColumn="1" w:lastColumn="0" w:noHBand="0" w:noVBand="1"/>
      </w:tblPr>
      <w:tblGrid>
        <w:gridCol w:w="814"/>
        <w:gridCol w:w="759"/>
        <w:gridCol w:w="759"/>
        <w:gridCol w:w="759"/>
        <w:gridCol w:w="759"/>
        <w:gridCol w:w="764"/>
      </w:tblGrid>
      <w:tr w:rsidR="005A0D1F" w:rsidRPr="00F03C4C" w14:paraId="036087B4" w14:textId="77777777" w:rsidTr="00FE7A42">
        <w:trPr>
          <w:trHeight w:val="279"/>
        </w:trPr>
        <w:tc>
          <w:tcPr>
            <w:tcW w:w="814" w:type="dxa"/>
            <w:vMerge w:val="restart"/>
            <w:tcBorders>
              <w:top w:val="single" w:sz="4" w:space="0" w:color="auto"/>
              <w:bottom w:val="nil"/>
            </w:tcBorders>
            <w:shd w:val="clear" w:color="auto" w:fill="auto"/>
            <w:noWrap/>
            <w:vAlign w:val="bottom"/>
          </w:tcPr>
          <w:p w14:paraId="1F6D9B99"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Formula</w:t>
            </w:r>
          </w:p>
        </w:tc>
        <w:tc>
          <w:tcPr>
            <w:tcW w:w="3800" w:type="dxa"/>
            <w:gridSpan w:val="5"/>
            <w:tcBorders>
              <w:top w:val="single" w:sz="4" w:space="0" w:color="auto"/>
              <w:bottom w:val="single" w:sz="4" w:space="0" w:color="auto"/>
            </w:tcBorders>
            <w:shd w:val="clear" w:color="auto" w:fill="auto"/>
            <w:noWrap/>
            <w:vAlign w:val="bottom"/>
          </w:tcPr>
          <w:p w14:paraId="4AF71153" w14:textId="58BEF5AC" w:rsidR="005A0D1F" w:rsidRPr="00F03C4C" w:rsidRDefault="005A0D1F" w:rsidP="00F03C4C">
            <w:pPr>
              <w:spacing w:after="0" w:line="240" w:lineRule="auto"/>
              <w:jc w:val="center"/>
              <w:rPr>
                <w:rFonts w:ascii="Cambria" w:eastAsia="Times New Roman" w:hAnsi="Cambria" w:cs="Times New Roman"/>
                <w:color w:val="000000"/>
                <w:sz w:val="16"/>
                <w:szCs w:val="16"/>
              </w:rPr>
            </w:pPr>
            <w:proofErr w:type="spellStart"/>
            <w:r w:rsidRPr="00F03C4C">
              <w:rPr>
                <w:rFonts w:ascii="Cambria" w:eastAsia="Times New Roman" w:hAnsi="Cambria" w:cs="Times New Roman"/>
                <w:color w:val="000000"/>
                <w:sz w:val="16"/>
                <w:szCs w:val="16"/>
              </w:rPr>
              <w:t>Rataan</w:t>
            </w:r>
            <w:proofErr w:type="spellEnd"/>
            <w:r w:rsidRPr="00F03C4C">
              <w:rPr>
                <w:rFonts w:ascii="Cambria" w:eastAsia="Times New Roman" w:hAnsi="Cambria" w:cs="Times New Roman"/>
                <w:color w:val="000000"/>
                <w:sz w:val="16"/>
                <w:szCs w:val="16"/>
              </w:rPr>
              <w:t xml:space="preserve"> </w:t>
            </w:r>
            <w:proofErr w:type="spellStart"/>
            <w:r w:rsidR="009C7997">
              <w:rPr>
                <w:rFonts w:ascii="Cambria" w:eastAsia="Times New Roman" w:hAnsi="Cambria" w:cs="Times New Roman"/>
                <w:color w:val="000000"/>
                <w:sz w:val="16"/>
                <w:szCs w:val="16"/>
              </w:rPr>
              <w:t>nilai</w:t>
            </w:r>
            <w:proofErr w:type="spellEnd"/>
          </w:p>
        </w:tc>
      </w:tr>
      <w:tr w:rsidR="005A0D1F" w:rsidRPr="00F03C4C" w14:paraId="14727247" w14:textId="77777777" w:rsidTr="00FE7A42">
        <w:trPr>
          <w:trHeight w:val="279"/>
        </w:trPr>
        <w:tc>
          <w:tcPr>
            <w:tcW w:w="814" w:type="dxa"/>
            <w:vMerge/>
            <w:tcBorders>
              <w:top w:val="nil"/>
              <w:bottom w:val="single" w:sz="4" w:space="0" w:color="auto"/>
            </w:tcBorders>
            <w:shd w:val="clear" w:color="auto" w:fill="auto"/>
            <w:noWrap/>
            <w:vAlign w:val="bottom"/>
          </w:tcPr>
          <w:p w14:paraId="2942C31B" w14:textId="77777777" w:rsidR="005A0D1F" w:rsidRPr="00F03C4C" w:rsidRDefault="005A0D1F" w:rsidP="00F03C4C">
            <w:pPr>
              <w:spacing w:after="0" w:line="240" w:lineRule="auto"/>
              <w:rPr>
                <w:rFonts w:ascii="Cambria" w:eastAsia="Times New Roman" w:hAnsi="Cambria" w:cs="Times New Roman"/>
                <w:color w:val="000000"/>
                <w:sz w:val="16"/>
                <w:szCs w:val="16"/>
              </w:rPr>
            </w:pPr>
          </w:p>
        </w:tc>
        <w:tc>
          <w:tcPr>
            <w:tcW w:w="759" w:type="dxa"/>
            <w:tcBorders>
              <w:top w:val="single" w:sz="4" w:space="0" w:color="auto"/>
              <w:bottom w:val="single" w:sz="4" w:space="0" w:color="auto"/>
            </w:tcBorders>
            <w:shd w:val="clear" w:color="auto" w:fill="auto"/>
            <w:noWrap/>
            <w:vAlign w:val="bottom"/>
          </w:tcPr>
          <w:p w14:paraId="0143BDED"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Warna</w:t>
            </w:r>
          </w:p>
        </w:tc>
        <w:tc>
          <w:tcPr>
            <w:tcW w:w="759" w:type="dxa"/>
            <w:tcBorders>
              <w:top w:val="single" w:sz="4" w:space="0" w:color="auto"/>
              <w:bottom w:val="single" w:sz="4" w:space="0" w:color="auto"/>
            </w:tcBorders>
            <w:shd w:val="clear" w:color="auto" w:fill="auto"/>
            <w:noWrap/>
            <w:vAlign w:val="bottom"/>
          </w:tcPr>
          <w:p w14:paraId="1ED9DBC8"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Aroma</w:t>
            </w:r>
          </w:p>
        </w:tc>
        <w:tc>
          <w:tcPr>
            <w:tcW w:w="759" w:type="dxa"/>
            <w:tcBorders>
              <w:top w:val="single" w:sz="4" w:space="0" w:color="auto"/>
              <w:bottom w:val="single" w:sz="4" w:space="0" w:color="auto"/>
            </w:tcBorders>
            <w:shd w:val="clear" w:color="auto" w:fill="auto"/>
            <w:noWrap/>
            <w:vAlign w:val="bottom"/>
          </w:tcPr>
          <w:p w14:paraId="26D1415B"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Rasa</w:t>
            </w:r>
          </w:p>
        </w:tc>
        <w:tc>
          <w:tcPr>
            <w:tcW w:w="759" w:type="dxa"/>
            <w:tcBorders>
              <w:top w:val="single" w:sz="4" w:space="0" w:color="auto"/>
              <w:bottom w:val="single" w:sz="4" w:space="0" w:color="auto"/>
            </w:tcBorders>
            <w:shd w:val="clear" w:color="auto" w:fill="auto"/>
            <w:noWrap/>
            <w:vAlign w:val="bottom"/>
          </w:tcPr>
          <w:p w14:paraId="44C4F9CA" w14:textId="77777777" w:rsidR="005A0D1F" w:rsidRPr="00F03C4C" w:rsidRDefault="005A0D1F" w:rsidP="00F03C4C">
            <w:pPr>
              <w:spacing w:after="0" w:line="240" w:lineRule="auto"/>
              <w:rPr>
                <w:rFonts w:ascii="Cambria" w:eastAsia="Times New Roman" w:hAnsi="Cambria" w:cs="Times New Roman"/>
                <w:color w:val="000000"/>
                <w:sz w:val="16"/>
                <w:szCs w:val="16"/>
              </w:rPr>
            </w:pPr>
            <w:proofErr w:type="spellStart"/>
            <w:r w:rsidRPr="00F03C4C">
              <w:rPr>
                <w:rFonts w:ascii="Cambria" w:eastAsia="Times New Roman" w:hAnsi="Cambria" w:cs="Times New Roman"/>
                <w:color w:val="000000"/>
                <w:sz w:val="16"/>
                <w:szCs w:val="16"/>
              </w:rPr>
              <w:t>Tekstur</w:t>
            </w:r>
            <w:proofErr w:type="spellEnd"/>
          </w:p>
        </w:tc>
        <w:tc>
          <w:tcPr>
            <w:tcW w:w="762" w:type="dxa"/>
            <w:tcBorders>
              <w:top w:val="single" w:sz="4" w:space="0" w:color="auto"/>
              <w:bottom w:val="single" w:sz="4" w:space="0" w:color="auto"/>
            </w:tcBorders>
            <w:shd w:val="clear" w:color="auto" w:fill="auto"/>
            <w:noWrap/>
            <w:vAlign w:val="bottom"/>
          </w:tcPr>
          <w:p w14:paraId="53AFA5A4"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AT</w:t>
            </w:r>
          </w:p>
        </w:tc>
      </w:tr>
      <w:tr w:rsidR="005A0D1F" w:rsidRPr="00F03C4C" w14:paraId="1C9FEE3E" w14:textId="77777777" w:rsidTr="00FE7A42">
        <w:trPr>
          <w:trHeight w:val="279"/>
        </w:trPr>
        <w:tc>
          <w:tcPr>
            <w:tcW w:w="814" w:type="dxa"/>
            <w:tcBorders>
              <w:top w:val="single" w:sz="4" w:space="0" w:color="auto"/>
            </w:tcBorders>
            <w:shd w:val="clear" w:color="auto" w:fill="auto"/>
            <w:noWrap/>
            <w:vAlign w:val="bottom"/>
            <w:hideMark/>
          </w:tcPr>
          <w:p w14:paraId="0596BE47" w14:textId="77777777" w:rsidR="005A0D1F" w:rsidRPr="00F03C4C" w:rsidRDefault="005A0D1F" w:rsidP="00F03C4C">
            <w:pPr>
              <w:spacing w:after="0" w:line="240" w:lineRule="auto"/>
              <w:rPr>
                <w:rFonts w:ascii="Cambria" w:eastAsia="Times New Roman" w:hAnsi="Cambria" w:cs="Times New Roman"/>
                <w:color w:val="000000"/>
                <w:sz w:val="16"/>
                <w:szCs w:val="16"/>
              </w:rPr>
            </w:pPr>
            <w:proofErr w:type="spellStart"/>
            <w:r w:rsidRPr="00F03C4C">
              <w:rPr>
                <w:rFonts w:ascii="Cambria" w:eastAsia="Times New Roman" w:hAnsi="Cambria" w:cs="Times New Roman"/>
                <w:color w:val="000000"/>
                <w:sz w:val="16"/>
                <w:szCs w:val="16"/>
              </w:rPr>
              <w:t>Kontrol</w:t>
            </w:r>
            <w:proofErr w:type="spellEnd"/>
          </w:p>
        </w:tc>
        <w:tc>
          <w:tcPr>
            <w:tcW w:w="759" w:type="dxa"/>
            <w:tcBorders>
              <w:top w:val="single" w:sz="4" w:space="0" w:color="auto"/>
            </w:tcBorders>
            <w:shd w:val="clear" w:color="auto" w:fill="auto"/>
            <w:noWrap/>
            <w:vAlign w:val="bottom"/>
          </w:tcPr>
          <w:p w14:paraId="030E4AEA"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4.47</w:t>
            </w:r>
            <w:r w:rsidRPr="00F03C4C">
              <w:rPr>
                <w:rFonts w:ascii="Cambria" w:hAnsi="Cambria" w:cs="Times New Roman"/>
                <w:color w:val="000000"/>
                <w:sz w:val="16"/>
                <w:szCs w:val="16"/>
                <w:vertAlign w:val="superscript"/>
              </w:rPr>
              <w:t>d</w:t>
            </w:r>
          </w:p>
        </w:tc>
        <w:tc>
          <w:tcPr>
            <w:tcW w:w="759" w:type="dxa"/>
            <w:tcBorders>
              <w:top w:val="single" w:sz="4" w:space="0" w:color="auto"/>
            </w:tcBorders>
            <w:shd w:val="clear" w:color="auto" w:fill="auto"/>
            <w:noWrap/>
            <w:vAlign w:val="bottom"/>
          </w:tcPr>
          <w:p w14:paraId="565CB16C"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3.40</w:t>
            </w:r>
            <w:r w:rsidRPr="00F03C4C">
              <w:rPr>
                <w:rFonts w:ascii="Cambria" w:hAnsi="Cambria" w:cs="Times New Roman"/>
                <w:color w:val="000000"/>
                <w:sz w:val="16"/>
                <w:szCs w:val="16"/>
                <w:vertAlign w:val="superscript"/>
              </w:rPr>
              <w:t>a</w:t>
            </w:r>
          </w:p>
        </w:tc>
        <w:tc>
          <w:tcPr>
            <w:tcW w:w="759" w:type="dxa"/>
            <w:tcBorders>
              <w:top w:val="single" w:sz="4" w:space="0" w:color="auto"/>
            </w:tcBorders>
            <w:shd w:val="clear" w:color="auto" w:fill="auto"/>
            <w:noWrap/>
            <w:vAlign w:val="bottom"/>
          </w:tcPr>
          <w:p w14:paraId="3D0F61D7"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3.73</w:t>
            </w:r>
            <w:r w:rsidRPr="00F03C4C">
              <w:rPr>
                <w:rFonts w:ascii="Cambria" w:hAnsi="Cambria" w:cs="Times New Roman"/>
                <w:color w:val="000000"/>
                <w:sz w:val="16"/>
                <w:szCs w:val="16"/>
                <w:vertAlign w:val="superscript"/>
              </w:rPr>
              <w:t>b</w:t>
            </w:r>
          </w:p>
        </w:tc>
        <w:tc>
          <w:tcPr>
            <w:tcW w:w="759" w:type="dxa"/>
            <w:tcBorders>
              <w:top w:val="single" w:sz="4" w:space="0" w:color="auto"/>
            </w:tcBorders>
            <w:shd w:val="clear" w:color="auto" w:fill="auto"/>
            <w:noWrap/>
            <w:vAlign w:val="bottom"/>
          </w:tcPr>
          <w:p w14:paraId="12294B47"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4.37</w:t>
            </w:r>
            <w:r w:rsidRPr="00F03C4C">
              <w:rPr>
                <w:rFonts w:ascii="Cambria" w:hAnsi="Cambria" w:cs="Times New Roman"/>
                <w:color w:val="000000"/>
                <w:sz w:val="16"/>
                <w:szCs w:val="16"/>
                <w:vertAlign w:val="superscript"/>
              </w:rPr>
              <w:t>a</w:t>
            </w:r>
          </w:p>
        </w:tc>
        <w:tc>
          <w:tcPr>
            <w:tcW w:w="762" w:type="dxa"/>
            <w:tcBorders>
              <w:top w:val="single" w:sz="4" w:space="0" w:color="auto"/>
            </w:tcBorders>
            <w:shd w:val="clear" w:color="auto" w:fill="auto"/>
            <w:noWrap/>
            <w:vAlign w:val="bottom"/>
          </w:tcPr>
          <w:p w14:paraId="553991EC"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3.60</w:t>
            </w:r>
            <w:r w:rsidRPr="00F03C4C">
              <w:rPr>
                <w:rFonts w:ascii="Cambria" w:hAnsi="Cambria" w:cs="Times New Roman"/>
                <w:color w:val="000000"/>
                <w:sz w:val="16"/>
                <w:szCs w:val="16"/>
                <w:vertAlign w:val="superscript"/>
              </w:rPr>
              <w:t>b</w:t>
            </w:r>
          </w:p>
        </w:tc>
      </w:tr>
      <w:tr w:rsidR="005A0D1F" w:rsidRPr="00F03C4C" w14:paraId="31FD6DB2" w14:textId="77777777" w:rsidTr="00FE7A42">
        <w:trPr>
          <w:trHeight w:val="279"/>
        </w:trPr>
        <w:tc>
          <w:tcPr>
            <w:tcW w:w="814" w:type="dxa"/>
            <w:shd w:val="clear" w:color="auto" w:fill="auto"/>
            <w:noWrap/>
            <w:vAlign w:val="bottom"/>
            <w:hideMark/>
          </w:tcPr>
          <w:p w14:paraId="3E837C64"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F1</w:t>
            </w:r>
          </w:p>
        </w:tc>
        <w:tc>
          <w:tcPr>
            <w:tcW w:w="759" w:type="dxa"/>
            <w:shd w:val="clear" w:color="auto" w:fill="auto"/>
            <w:noWrap/>
            <w:vAlign w:val="bottom"/>
          </w:tcPr>
          <w:p w14:paraId="5547E730"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2.87</w:t>
            </w:r>
            <w:r w:rsidRPr="00F03C4C">
              <w:rPr>
                <w:rFonts w:ascii="Cambria" w:hAnsi="Cambria" w:cs="Times New Roman"/>
                <w:color w:val="000000"/>
                <w:sz w:val="16"/>
                <w:szCs w:val="16"/>
                <w:vertAlign w:val="superscript"/>
              </w:rPr>
              <w:t>c</w:t>
            </w:r>
          </w:p>
        </w:tc>
        <w:tc>
          <w:tcPr>
            <w:tcW w:w="759" w:type="dxa"/>
            <w:shd w:val="clear" w:color="auto" w:fill="auto"/>
            <w:noWrap/>
            <w:vAlign w:val="bottom"/>
          </w:tcPr>
          <w:p w14:paraId="427CF4A1"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3.67</w:t>
            </w:r>
            <w:r w:rsidRPr="00F03C4C">
              <w:rPr>
                <w:rFonts w:ascii="Cambria" w:hAnsi="Cambria" w:cs="Times New Roman"/>
                <w:color w:val="000000"/>
                <w:sz w:val="16"/>
                <w:szCs w:val="16"/>
                <w:vertAlign w:val="superscript"/>
              </w:rPr>
              <w:t>a</w:t>
            </w:r>
          </w:p>
        </w:tc>
        <w:tc>
          <w:tcPr>
            <w:tcW w:w="759" w:type="dxa"/>
            <w:shd w:val="clear" w:color="auto" w:fill="auto"/>
            <w:noWrap/>
            <w:vAlign w:val="bottom"/>
          </w:tcPr>
          <w:p w14:paraId="4EC1964F"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3.77</w:t>
            </w:r>
            <w:r w:rsidRPr="00F03C4C">
              <w:rPr>
                <w:rFonts w:ascii="Cambria" w:hAnsi="Cambria" w:cs="Times New Roman"/>
                <w:color w:val="000000"/>
                <w:sz w:val="16"/>
                <w:szCs w:val="16"/>
                <w:vertAlign w:val="superscript"/>
              </w:rPr>
              <w:t>b</w:t>
            </w:r>
          </w:p>
        </w:tc>
        <w:tc>
          <w:tcPr>
            <w:tcW w:w="759" w:type="dxa"/>
            <w:shd w:val="clear" w:color="auto" w:fill="auto"/>
            <w:noWrap/>
            <w:vAlign w:val="bottom"/>
          </w:tcPr>
          <w:p w14:paraId="73B03C06"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4.60</w:t>
            </w:r>
            <w:r w:rsidRPr="00F03C4C">
              <w:rPr>
                <w:rFonts w:ascii="Cambria" w:hAnsi="Cambria" w:cs="Times New Roman"/>
                <w:color w:val="000000"/>
                <w:sz w:val="16"/>
                <w:szCs w:val="16"/>
                <w:vertAlign w:val="superscript"/>
              </w:rPr>
              <w:t>a</w:t>
            </w:r>
          </w:p>
        </w:tc>
        <w:tc>
          <w:tcPr>
            <w:tcW w:w="762" w:type="dxa"/>
            <w:shd w:val="clear" w:color="auto" w:fill="auto"/>
            <w:noWrap/>
            <w:vAlign w:val="bottom"/>
          </w:tcPr>
          <w:p w14:paraId="4AFB9E87"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3.50</w:t>
            </w:r>
            <w:r w:rsidRPr="00F03C4C">
              <w:rPr>
                <w:rFonts w:ascii="Cambria" w:hAnsi="Cambria" w:cs="Times New Roman"/>
                <w:color w:val="000000"/>
                <w:sz w:val="16"/>
                <w:szCs w:val="16"/>
                <w:vertAlign w:val="superscript"/>
              </w:rPr>
              <w:t>ab</w:t>
            </w:r>
          </w:p>
        </w:tc>
      </w:tr>
      <w:tr w:rsidR="005A0D1F" w:rsidRPr="00F03C4C" w14:paraId="735119E9" w14:textId="77777777" w:rsidTr="00FE7A42">
        <w:trPr>
          <w:trHeight w:val="279"/>
        </w:trPr>
        <w:tc>
          <w:tcPr>
            <w:tcW w:w="814" w:type="dxa"/>
            <w:shd w:val="clear" w:color="auto" w:fill="auto"/>
            <w:noWrap/>
            <w:vAlign w:val="bottom"/>
            <w:hideMark/>
          </w:tcPr>
          <w:p w14:paraId="62661888"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F2</w:t>
            </w:r>
          </w:p>
        </w:tc>
        <w:tc>
          <w:tcPr>
            <w:tcW w:w="759" w:type="dxa"/>
            <w:shd w:val="clear" w:color="auto" w:fill="auto"/>
            <w:noWrap/>
            <w:vAlign w:val="bottom"/>
          </w:tcPr>
          <w:p w14:paraId="01C81591"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1.97</w:t>
            </w:r>
            <w:r w:rsidRPr="00F03C4C">
              <w:rPr>
                <w:rFonts w:ascii="Cambria" w:hAnsi="Cambria" w:cs="Times New Roman"/>
                <w:color w:val="000000"/>
                <w:sz w:val="16"/>
                <w:szCs w:val="16"/>
                <w:vertAlign w:val="superscript"/>
              </w:rPr>
              <w:t>b</w:t>
            </w:r>
          </w:p>
        </w:tc>
        <w:tc>
          <w:tcPr>
            <w:tcW w:w="759" w:type="dxa"/>
            <w:shd w:val="clear" w:color="auto" w:fill="auto"/>
            <w:noWrap/>
            <w:vAlign w:val="bottom"/>
          </w:tcPr>
          <w:p w14:paraId="73F00E53"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3.40</w:t>
            </w:r>
            <w:r w:rsidRPr="00F03C4C">
              <w:rPr>
                <w:rFonts w:ascii="Cambria" w:hAnsi="Cambria" w:cs="Times New Roman"/>
                <w:color w:val="000000"/>
                <w:sz w:val="16"/>
                <w:szCs w:val="16"/>
                <w:vertAlign w:val="superscript"/>
              </w:rPr>
              <w:t>a</w:t>
            </w:r>
          </w:p>
        </w:tc>
        <w:tc>
          <w:tcPr>
            <w:tcW w:w="759" w:type="dxa"/>
            <w:shd w:val="clear" w:color="auto" w:fill="auto"/>
            <w:noWrap/>
            <w:vAlign w:val="bottom"/>
          </w:tcPr>
          <w:p w14:paraId="5B627E43"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3.33</w:t>
            </w:r>
            <w:r w:rsidRPr="00F03C4C">
              <w:rPr>
                <w:rFonts w:ascii="Cambria" w:hAnsi="Cambria" w:cs="Times New Roman"/>
                <w:color w:val="000000"/>
                <w:sz w:val="16"/>
                <w:szCs w:val="16"/>
                <w:vertAlign w:val="superscript"/>
              </w:rPr>
              <w:t>ab</w:t>
            </w:r>
          </w:p>
        </w:tc>
        <w:tc>
          <w:tcPr>
            <w:tcW w:w="759" w:type="dxa"/>
            <w:shd w:val="clear" w:color="auto" w:fill="auto"/>
            <w:noWrap/>
            <w:vAlign w:val="bottom"/>
          </w:tcPr>
          <w:p w14:paraId="6C92C7B3"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4.40</w:t>
            </w:r>
            <w:r w:rsidRPr="00F03C4C">
              <w:rPr>
                <w:rFonts w:ascii="Cambria" w:hAnsi="Cambria" w:cs="Times New Roman"/>
                <w:color w:val="000000"/>
                <w:sz w:val="16"/>
                <w:szCs w:val="16"/>
                <w:vertAlign w:val="superscript"/>
              </w:rPr>
              <w:t>a</w:t>
            </w:r>
          </w:p>
        </w:tc>
        <w:tc>
          <w:tcPr>
            <w:tcW w:w="762" w:type="dxa"/>
            <w:shd w:val="clear" w:color="auto" w:fill="auto"/>
            <w:noWrap/>
            <w:vAlign w:val="bottom"/>
          </w:tcPr>
          <w:p w14:paraId="5604056D"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3.20</w:t>
            </w:r>
            <w:r w:rsidRPr="00F03C4C">
              <w:rPr>
                <w:rFonts w:ascii="Cambria" w:hAnsi="Cambria" w:cs="Times New Roman"/>
                <w:color w:val="000000"/>
                <w:sz w:val="16"/>
                <w:szCs w:val="16"/>
                <w:vertAlign w:val="superscript"/>
              </w:rPr>
              <w:t>ab</w:t>
            </w:r>
          </w:p>
        </w:tc>
      </w:tr>
      <w:tr w:rsidR="005A0D1F" w:rsidRPr="00F03C4C" w14:paraId="3855F643" w14:textId="77777777" w:rsidTr="00FE7A42">
        <w:trPr>
          <w:trHeight w:val="279"/>
        </w:trPr>
        <w:tc>
          <w:tcPr>
            <w:tcW w:w="814" w:type="dxa"/>
            <w:shd w:val="clear" w:color="auto" w:fill="auto"/>
            <w:noWrap/>
            <w:vAlign w:val="bottom"/>
            <w:hideMark/>
          </w:tcPr>
          <w:p w14:paraId="095BEE64"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F3</w:t>
            </w:r>
          </w:p>
        </w:tc>
        <w:tc>
          <w:tcPr>
            <w:tcW w:w="759" w:type="dxa"/>
            <w:shd w:val="clear" w:color="auto" w:fill="auto"/>
            <w:noWrap/>
            <w:vAlign w:val="bottom"/>
          </w:tcPr>
          <w:p w14:paraId="26D537CA"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1.57</w:t>
            </w:r>
            <w:r w:rsidRPr="00F03C4C">
              <w:rPr>
                <w:rFonts w:ascii="Cambria" w:hAnsi="Cambria" w:cs="Times New Roman"/>
                <w:color w:val="000000"/>
                <w:sz w:val="16"/>
                <w:szCs w:val="16"/>
                <w:vertAlign w:val="superscript"/>
              </w:rPr>
              <w:t>a</w:t>
            </w:r>
          </w:p>
        </w:tc>
        <w:tc>
          <w:tcPr>
            <w:tcW w:w="759" w:type="dxa"/>
            <w:shd w:val="clear" w:color="auto" w:fill="auto"/>
            <w:noWrap/>
            <w:vAlign w:val="bottom"/>
          </w:tcPr>
          <w:p w14:paraId="5CCA0278"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3.90</w:t>
            </w:r>
            <w:r w:rsidRPr="00F03C4C">
              <w:rPr>
                <w:rFonts w:ascii="Cambria" w:hAnsi="Cambria" w:cs="Times New Roman"/>
                <w:color w:val="000000"/>
                <w:sz w:val="16"/>
                <w:szCs w:val="16"/>
                <w:vertAlign w:val="superscript"/>
              </w:rPr>
              <w:t>a</w:t>
            </w:r>
          </w:p>
        </w:tc>
        <w:tc>
          <w:tcPr>
            <w:tcW w:w="759" w:type="dxa"/>
            <w:shd w:val="clear" w:color="auto" w:fill="auto"/>
            <w:noWrap/>
            <w:vAlign w:val="bottom"/>
          </w:tcPr>
          <w:p w14:paraId="4CCD9760"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3.10</w:t>
            </w:r>
            <w:r w:rsidRPr="00F03C4C">
              <w:rPr>
                <w:rFonts w:ascii="Cambria" w:hAnsi="Cambria" w:cs="Times New Roman"/>
                <w:color w:val="000000"/>
                <w:sz w:val="16"/>
                <w:szCs w:val="16"/>
                <w:vertAlign w:val="superscript"/>
              </w:rPr>
              <w:t>a</w:t>
            </w:r>
          </w:p>
        </w:tc>
        <w:tc>
          <w:tcPr>
            <w:tcW w:w="759" w:type="dxa"/>
            <w:shd w:val="clear" w:color="auto" w:fill="auto"/>
            <w:noWrap/>
            <w:vAlign w:val="bottom"/>
          </w:tcPr>
          <w:p w14:paraId="0635194B"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4.60</w:t>
            </w:r>
            <w:r w:rsidRPr="00F03C4C">
              <w:rPr>
                <w:rFonts w:ascii="Cambria" w:hAnsi="Cambria" w:cs="Times New Roman"/>
                <w:color w:val="000000"/>
                <w:sz w:val="16"/>
                <w:szCs w:val="16"/>
                <w:vertAlign w:val="superscript"/>
              </w:rPr>
              <w:t>a</w:t>
            </w:r>
          </w:p>
        </w:tc>
        <w:tc>
          <w:tcPr>
            <w:tcW w:w="762" w:type="dxa"/>
            <w:shd w:val="clear" w:color="auto" w:fill="auto"/>
            <w:noWrap/>
            <w:vAlign w:val="bottom"/>
          </w:tcPr>
          <w:p w14:paraId="3E17F670"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3.10</w:t>
            </w:r>
            <w:r w:rsidRPr="00F03C4C">
              <w:rPr>
                <w:rFonts w:ascii="Cambria" w:hAnsi="Cambria" w:cs="Times New Roman"/>
                <w:color w:val="000000"/>
                <w:sz w:val="16"/>
                <w:szCs w:val="16"/>
                <w:vertAlign w:val="superscript"/>
              </w:rPr>
              <w:t>ab</w:t>
            </w:r>
          </w:p>
        </w:tc>
      </w:tr>
      <w:tr w:rsidR="005A0D1F" w:rsidRPr="00F03C4C" w14:paraId="3A445704" w14:textId="77777777" w:rsidTr="00FE7A42">
        <w:trPr>
          <w:trHeight w:val="279"/>
        </w:trPr>
        <w:tc>
          <w:tcPr>
            <w:tcW w:w="814" w:type="dxa"/>
            <w:shd w:val="clear" w:color="auto" w:fill="auto"/>
            <w:noWrap/>
            <w:vAlign w:val="bottom"/>
            <w:hideMark/>
          </w:tcPr>
          <w:p w14:paraId="54D53E6E" w14:textId="77777777" w:rsidR="005A0D1F" w:rsidRPr="00F03C4C" w:rsidRDefault="005A0D1F" w:rsidP="00F03C4C">
            <w:pPr>
              <w:spacing w:after="0" w:line="240" w:lineRule="auto"/>
              <w:rPr>
                <w:rFonts w:ascii="Cambria" w:eastAsia="Times New Roman" w:hAnsi="Cambria" w:cs="Times New Roman"/>
                <w:color w:val="000000"/>
                <w:sz w:val="16"/>
                <w:szCs w:val="16"/>
              </w:rPr>
            </w:pPr>
            <w:r w:rsidRPr="00F03C4C">
              <w:rPr>
                <w:rFonts w:ascii="Cambria" w:eastAsia="Times New Roman" w:hAnsi="Cambria" w:cs="Times New Roman"/>
                <w:color w:val="000000"/>
                <w:sz w:val="16"/>
                <w:szCs w:val="16"/>
              </w:rPr>
              <w:t>F4</w:t>
            </w:r>
          </w:p>
        </w:tc>
        <w:tc>
          <w:tcPr>
            <w:tcW w:w="759" w:type="dxa"/>
            <w:shd w:val="clear" w:color="auto" w:fill="auto"/>
            <w:noWrap/>
            <w:vAlign w:val="bottom"/>
          </w:tcPr>
          <w:p w14:paraId="13C8F6DA"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1.43</w:t>
            </w:r>
            <w:r w:rsidRPr="00F03C4C">
              <w:rPr>
                <w:rFonts w:ascii="Cambria" w:hAnsi="Cambria" w:cs="Times New Roman"/>
                <w:color w:val="000000"/>
                <w:sz w:val="16"/>
                <w:szCs w:val="16"/>
                <w:vertAlign w:val="superscript"/>
              </w:rPr>
              <w:t>a</w:t>
            </w:r>
          </w:p>
        </w:tc>
        <w:tc>
          <w:tcPr>
            <w:tcW w:w="759" w:type="dxa"/>
            <w:shd w:val="clear" w:color="auto" w:fill="auto"/>
            <w:noWrap/>
            <w:vAlign w:val="bottom"/>
          </w:tcPr>
          <w:p w14:paraId="1FB2CA76"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3.47</w:t>
            </w:r>
            <w:r w:rsidRPr="00F03C4C">
              <w:rPr>
                <w:rFonts w:ascii="Cambria" w:hAnsi="Cambria" w:cs="Times New Roman"/>
                <w:color w:val="000000"/>
                <w:sz w:val="16"/>
                <w:szCs w:val="16"/>
                <w:vertAlign w:val="superscript"/>
              </w:rPr>
              <w:t>a</w:t>
            </w:r>
          </w:p>
        </w:tc>
        <w:tc>
          <w:tcPr>
            <w:tcW w:w="759" w:type="dxa"/>
            <w:shd w:val="clear" w:color="auto" w:fill="auto"/>
            <w:noWrap/>
            <w:vAlign w:val="bottom"/>
          </w:tcPr>
          <w:p w14:paraId="290DCC5D"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3.50</w:t>
            </w:r>
            <w:r w:rsidRPr="00F03C4C">
              <w:rPr>
                <w:rFonts w:ascii="Cambria" w:hAnsi="Cambria" w:cs="Times New Roman"/>
                <w:color w:val="000000"/>
                <w:sz w:val="16"/>
                <w:szCs w:val="16"/>
                <w:vertAlign w:val="superscript"/>
              </w:rPr>
              <w:t>ab</w:t>
            </w:r>
          </w:p>
        </w:tc>
        <w:tc>
          <w:tcPr>
            <w:tcW w:w="759" w:type="dxa"/>
            <w:shd w:val="clear" w:color="auto" w:fill="auto"/>
            <w:noWrap/>
            <w:vAlign w:val="bottom"/>
          </w:tcPr>
          <w:p w14:paraId="1165C7CE"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4.63</w:t>
            </w:r>
            <w:r w:rsidRPr="00F03C4C">
              <w:rPr>
                <w:rFonts w:ascii="Cambria" w:hAnsi="Cambria" w:cs="Times New Roman"/>
                <w:color w:val="000000"/>
                <w:sz w:val="16"/>
                <w:szCs w:val="16"/>
                <w:vertAlign w:val="superscript"/>
              </w:rPr>
              <w:t>a</w:t>
            </w:r>
          </w:p>
        </w:tc>
        <w:tc>
          <w:tcPr>
            <w:tcW w:w="762" w:type="dxa"/>
            <w:shd w:val="clear" w:color="auto" w:fill="auto"/>
            <w:noWrap/>
            <w:vAlign w:val="bottom"/>
          </w:tcPr>
          <w:p w14:paraId="08AEF046" w14:textId="77777777" w:rsidR="005A0D1F" w:rsidRPr="00F03C4C" w:rsidRDefault="005A0D1F" w:rsidP="00F03C4C">
            <w:pPr>
              <w:spacing w:after="0" w:line="240" w:lineRule="auto"/>
              <w:jc w:val="right"/>
              <w:rPr>
                <w:rFonts w:ascii="Cambria" w:eastAsia="Times New Roman" w:hAnsi="Cambria" w:cs="Times New Roman"/>
                <w:color w:val="000000"/>
                <w:sz w:val="16"/>
                <w:szCs w:val="16"/>
                <w:vertAlign w:val="superscript"/>
              </w:rPr>
            </w:pPr>
            <w:r w:rsidRPr="00F03C4C">
              <w:rPr>
                <w:rFonts w:ascii="Cambria" w:hAnsi="Cambria" w:cs="Times New Roman"/>
                <w:color w:val="000000"/>
                <w:sz w:val="16"/>
                <w:szCs w:val="16"/>
              </w:rPr>
              <w:t>2.90</w:t>
            </w:r>
            <w:r w:rsidRPr="00F03C4C">
              <w:rPr>
                <w:rFonts w:ascii="Cambria" w:hAnsi="Cambria" w:cs="Times New Roman"/>
                <w:color w:val="000000"/>
                <w:sz w:val="16"/>
                <w:szCs w:val="16"/>
                <w:vertAlign w:val="superscript"/>
              </w:rPr>
              <w:t>a</w:t>
            </w:r>
          </w:p>
        </w:tc>
      </w:tr>
    </w:tbl>
    <w:p w14:paraId="6ACB0706" w14:textId="230F4393" w:rsidR="005A0D1F" w:rsidRPr="00F03C4C" w:rsidRDefault="005A0D1F" w:rsidP="00F03C4C">
      <w:pPr>
        <w:spacing w:after="0" w:line="240" w:lineRule="auto"/>
        <w:rPr>
          <w:rFonts w:ascii="Cambria" w:hAnsi="Cambria" w:cs="Times New Roman"/>
          <w:sz w:val="18"/>
          <w:szCs w:val="18"/>
        </w:rPr>
      </w:pPr>
      <w:proofErr w:type="spellStart"/>
      <w:proofErr w:type="gramStart"/>
      <w:r w:rsidRPr="00F03C4C">
        <w:rPr>
          <w:rFonts w:ascii="Cambria" w:hAnsi="Cambria" w:cs="Times New Roman"/>
          <w:sz w:val="18"/>
          <w:szCs w:val="18"/>
        </w:rPr>
        <w:t>Keterangan</w:t>
      </w:r>
      <w:proofErr w:type="spellEnd"/>
      <w:r w:rsidRPr="00F03C4C">
        <w:rPr>
          <w:rFonts w:ascii="Cambria" w:hAnsi="Cambria" w:cs="Times New Roman"/>
          <w:sz w:val="18"/>
          <w:szCs w:val="18"/>
        </w:rPr>
        <w:t xml:space="preserve"> :</w:t>
      </w:r>
      <w:proofErr w:type="gramEnd"/>
      <w:r w:rsidRPr="00F03C4C">
        <w:rPr>
          <w:rFonts w:ascii="Cambria" w:hAnsi="Cambria" w:cs="Times New Roman"/>
          <w:sz w:val="18"/>
          <w:szCs w:val="18"/>
        </w:rPr>
        <w:t xml:space="preserve"> </w:t>
      </w:r>
      <w:r w:rsidR="009C7997" w:rsidRPr="00F03C4C">
        <w:rPr>
          <w:rFonts w:ascii="Cambria" w:hAnsi="Cambria" w:cs="Times New Roman"/>
          <w:sz w:val="18"/>
          <w:szCs w:val="18"/>
        </w:rPr>
        <w:t xml:space="preserve">Nilai yang </w:t>
      </w:r>
      <w:proofErr w:type="spellStart"/>
      <w:r w:rsidR="009C7997" w:rsidRPr="00F03C4C">
        <w:rPr>
          <w:rFonts w:ascii="Cambria" w:hAnsi="Cambria" w:cs="Times New Roman"/>
          <w:sz w:val="18"/>
          <w:szCs w:val="18"/>
        </w:rPr>
        <w:t>diikuti</w:t>
      </w:r>
      <w:proofErr w:type="spellEnd"/>
      <w:r w:rsidR="009C7997" w:rsidRPr="00F03C4C">
        <w:rPr>
          <w:rFonts w:ascii="Cambria" w:hAnsi="Cambria" w:cs="Times New Roman"/>
          <w:sz w:val="18"/>
          <w:szCs w:val="18"/>
        </w:rPr>
        <w:t xml:space="preserve"> </w:t>
      </w:r>
      <w:proofErr w:type="spellStart"/>
      <w:r w:rsidR="009C7997" w:rsidRPr="00F03C4C">
        <w:rPr>
          <w:rFonts w:ascii="Cambria" w:hAnsi="Cambria" w:cs="Times New Roman"/>
          <w:sz w:val="18"/>
          <w:szCs w:val="18"/>
        </w:rPr>
        <w:t>dengan</w:t>
      </w:r>
      <w:proofErr w:type="spellEnd"/>
      <w:r w:rsidR="009C7997" w:rsidRPr="00F03C4C">
        <w:rPr>
          <w:rFonts w:ascii="Cambria" w:hAnsi="Cambria" w:cs="Times New Roman"/>
          <w:sz w:val="18"/>
          <w:szCs w:val="18"/>
        </w:rPr>
        <w:t xml:space="preserve"> </w:t>
      </w:r>
      <w:proofErr w:type="spellStart"/>
      <w:r w:rsidR="009C7997" w:rsidRPr="00F03C4C">
        <w:rPr>
          <w:rFonts w:ascii="Cambria" w:hAnsi="Cambria" w:cs="Times New Roman"/>
          <w:sz w:val="18"/>
          <w:szCs w:val="18"/>
        </w:rPr>
        <w:t>huruf</w:t>
      </w:r>
      <w:proofErr w:type="spellEnd"/>
      <w:r w:rsidR="009C7997" w:rsidRPr="00F03C4C">
        <w:rPr>
          <w:rFonts w:ascii="Cambria" w:hAnsi="Cambria" w:cs="Times New Roman"/>
          <w:sz w:val="18"/>
          <w:szCs w:val="18"/>
        </w:rPr>
        <w:t xml:space="preserve"> </w:t>
      </w:r>
      <w:proofErr w:type="spellStart"/>
      <w:r w:rsidR="009C7997" w:rsidRPr="00F03C4C">
        <w:rPr>
          <w:rFonts w:ascii="Cambria" w:hAnsi="Cambria" w:cs="Times New Roman"/>
          <w:sz w:val="18"/>
          <w:szCs w:val="18"/>
        </w:rPr>
        <w:t>berbeda</w:t>
      </w:r>
      <w:proofErr w:type="spellEnd"/>
      <w:r w:rsidR="009C7997" w:rsidRPr="00F03C4C">
        <w:rPr>
          <w:rFonts w:ascii="Cambria" w:hAnsi="Cambria" w:cs="Times New Roman"/>
          <w:sz w:val="18"/>
          <w:szCs w:val="18"/>
        </w:rPr>
        <w:t xml:space="preserve"> pada </w:t>
      </w:r>
      <w:proofErr w:type="spellStart"/>
      <w:r w:rsidR="009C7997" w:rsidRPr="00F03C4C">
        <w:rPr>
          <w:rFonts w:ascii="Cambria" w:hAnsi="Cambria" w:cs="Times New Roman"/>
          <w:sz w:val="18"/>
          <w:szCs w:val="18"/>
        </w:rPr>
        <w:t>kolom</w:t>
      </w:r>
      <w:proofErr w:type="spellEnd"/>
      <w:r w:rsidR="009C7997" w:rsidRPr="00F03C4C">
        <w:rPr>
          <w:rFonts w:ascii="Cambria" w:hAnsi="Cambria" w:cs="Times New Roman"/>
          <w:sz w:val="18"/>
          <w:szCs w:val="18"/>
        </w:rPr>
        <w:t xml:space="preserve"> yang </w:t>
      </w:r>
      <w:proofErr w:type="spellStart"/>
      <w:r w:rsidR="009C7997" w:rsidRPr="00F03C4C">
        <w:rPr>
          <w:rFonts w:ascii="Cambria" w:hAnsi="Cambria" w:cs="Times New Roman"/>
          <w:sz w:val="18"/>
          <w:szCs w:val="18"/>
        </w:rPr>
        <w:t>sama</w:t>
      </w:r>
      <w:proofErr w:type="spellEnd"/>
      <w:r w:rsidR="009C7997" w:rsidRPr="00F03C4C">
        <w:rPr>
          <w:rFonts w:ascii="Cambria" w:hAnsi="Cambria" w:cs="Times New Roman"/>
          <w:sz w:val="18"/>
          <w:szCs w:val="18"/>
        </w:rPr>
        <w:t xml:space="preserve"> </w:t>
      </w:r>
      <w:proofErr w:type="spellStart"/>
      <w:r w:rsidR="009C7997" w:rsidRPr="00F03C4C">
        <w:rPr>
          <w:rFonts w:ascii="Cambria" w:hAnsi="Cambria" w:cs="Times New Roman"/>
          <w:sz w:val="18"/>
          <w:szCs w:val="18"/>
        </w:rPr>
        <w:t>menunjukkan</w:t>
      </w:r>
      <w:proofErr w:type="spellEnd"/>
      <w:r w:rsidR="009C7997" w:rsidRPr="00F03C4C">
        <w:rPr>
          <w:rFonts w:ascii="Cambria" w:hAnsi="Cambria" w:cs="Times New Roman"/>
          <w:sz w:val="18"/>
          <w:szCs w:val="18"/>
        </w:rPr>
        <w:t xml:space="preserve"> </w:t>
      </w:r>
      <w:proofErr w:type="spellStart"/>
      <w:r w:rsidR="009C7997" w:rsidRPr="00F03C4C">
        <w:rPr>
          <w:rFonts w:ascii="Cambria" w:hAnsi="Cambria" w:cs="Times New Roman"/>
          <w:sz w:val="18"/>
          <w:szCs w:val="18"/>
        </w:rPr>
        <w:t>perbedaan</w:t>
      </w:r>
      <w:proofErr w:type="spellEnd"/>
      <w:r w:rsidR="009C7997" w:rsidRPr="00F03C4C">
        <w:rPr>
          <w:rFonts w:ascii="Cambria" w:hAnsi="Cambria" w:cs="Times New Roman"/>
          <w:sz w:val="18"/>
          <w:szCs w:val="18"/>
        </w:rPr>
        <w:t xml:space="preserve"> yang </w:t>
      </w:r>
      <w:proofErr w:type="spellStart"/>
      <w:r w:rsidR="009C7997" w:rsidRPr="00F03C4C">
        <w:rPr>
          <w:rFonts w:ascii="Cambria" w:hAnsi="Cambria" w:cs="Times New Roman"/>
          <w:sz w:val="18"/>
          <w:szCs w:val="18"/>
        </w:rPr>
        <w:t>nyata</w:t>
      </w:r>
      <w:proofErr w:type="spellEnd"/>
      <w:r w:rsidR="009C7997" w:rsidRPr="00F03C4C">
        <w:rPr>
          <w:rFonts w:ascii="Cambria" w:hAnsi="Cambria" w:cs="Times New Roman"/>
          <w:sz w:val="18"/>
          <w:szCs w:val="18"/>
        </w:rPr>
        <w:t xml:space="preserve"> (p&lt;0.05)</w:t>
      </w:r>
    </w:p>
    <w:p w14:paraId="77D27B4C" w14:textId="6E03BE2B" w:rsidR="00D95178" w:rsidRDefault="00D95178" w:rsidP="00F03C4C">
      <w:pPr>
        <w:pBdr>
          <w:top w:val="nil"/>
          <w:left w:val="nil"/>
          <w:bottom w:val="nil"/>
          <w:right w:val="nil"/>
          <w:between w:val="nil"/>
        </w:pBdr>
        <w:spacing w:after="0" w:line="240" w:lineRule="auto"/>
        <w:jc w:val="both"/>
        <w:rPr>
          <w:rFonts w:ascii="Cambria" w:eastAsia="Cambria" w:hAnsi="Cambria" w:cs="Cambria"/>
        </w:rPr>
      </w:pPr>
    </w:p>
    <w:p w14:paraId="32796D3A" w14:textId="51FDC3EC" w:rsidR="0094722B" w:rsidRDefault="001452CF" w:rsidP="00FE7A42">
      <w:pPr>
        <w:pBdr>
          <w:top w:val="nil"/>
          <w:left w:val="nil"/>
          <w:bottom w:val="nil"/>
          <w:right w:val="nil"/>
          <w:between w:val="nil"/>
        </w:pBdr>
        <w:spacing w:after="0" w:line="240" w:lineRule="auto"/>
        <w:ind w:firstLine="567"/>
        <w:jc w:val="both"/>
        <w:rPr>
          <w:rFonts w:ascii="Cambria" w:eastAsia="Cambria" w:hAnsi="Cambria" w:cs="Cambria"/>
        </w:rPr>
      </w:pPr>
      <w:r>
        <w:rPr>
          <w:rFonts w:ascii="Cambria" w:eastAsia="Cambria" w:hAnsi="Cambria" w:cs="Cambria"/>
        </w:rPr>
        <w:t xml:space="preserve">Pada Tabel 3 </w:t>
      </w:r>
      <w:proofErr w:type="spellStart"/>
      <w:r>
        <w:rPr>
          <w:rFonts w:ascii="Cambria" w:eastAsia="Cambria" w:hAnsi="Cambria" w:cs="Cambria"/>
        </w:rPr>
        <w:t>dapat</w:t>
      </w:r>
      <w:proofErr w:type="spellEnd"/>
      <w:r>
        <w:rPr>
          <w:rFonts w:ascii="Cambria" w:eastAsia="Cambria" w:hAnsi="Cambria" w:cs="Cambria"/>
        </w:rPr>
        <w:t xml:space="preserve"> </w:t>
      </w:r>
      <w:proofErr w:type="spellStart"/>
      <w:r>
        <w:rPr>
          <w:rFonts w:ascii="Cambria" w:eastAsia="Cambria" w:hAnsi="Cambria" w:cs="Cambria"/>
        </w:rPr>
        <w:t>dilihat</w:t>
      </w:r>
      <w:proofErr w:type="spellEnd"/>
      <w:r>
        <w:rPr>
          <w:rFonts w:ascii="Cambria" w:eastAsia="Cambria" w:hAnsi="Cambria" w:cs="Cambria"/>
        </w:rPr>
        <w:t xml:space="preserve"> </w:t>
      </w:r>
      <w:proofErr w:type="spellStart"/>
      <w:r>
        <w:rPr>
          <w:rFonts w:ascii="Cambria" w:eastAsia="Cambria" w:hAnsi="Cambria" w:cs="Cambria"/>
        </w:rPr>
        <w:t>bahwa</w:t>
      </w:r>
      <w:proofErr w:type="spellEnd"/>
      <w:r>
        <w:rPr>
          <w:rFonts w:ascii="Cambria" w:eastAsia="Cambria" w:hAnsi="Cambria" w:cs="Cambria"/>
        </w:rPr>
        <w:t xml:space="preserve"> </w:t>
      </w:r>
      <w:proofErr w:type="spellStart"/>
      <w:r>
        <w:rPr>
          <w:rFonts w:ascii="Cambria" w:eastAsia="Cambria" w:hAnsi="Cambria" w:cs="Cambria"/>
        </w:rPr>
        <w:t>warna</w:t>
      </w:r>
      <w:proofErr w:type="spellEnd"/>
      <w:r>
        <w:rPr>
          <w:rFonts w:ascii="Cambria" w:eastAsia="Cambria" w:hAnsi="Cambria" w:cs="Cambria"/>
        </w:rPr>
        <w:t xml:space="preserve"> biscuit control </w:t>
      </w:r>
      <w:proofErr w:type="spellStart"/>
      <w:r>
        <w:rPr>
          <w:rFonts w:ascii="Cambria" w:eastAsia="Cambria" w:hAnsi="Cambria" w:cs="Cambria"/>
        </w:rPr>
        <w:t>berbeda</w:t>
      </w:r>
      <w:proofErr w:type="spellEnd"/>
      <w:r>
        <w:rPr>
          <w:rFonts w:ascii="Cambria" w:eastAsia="Cambria" w:hAnsi="Cambria" w:cs="Cambria"/>
        </w:rPr>
        <w:t xml:space="preserve"> </w:t>
      </w:r>
      <w:proofErr w:type="spellStart"/>
      <w:r>
        <w:rPr>
          <w:rFonts w:ascii="Cambria" w:eastAsia="Cambria" w:hAnsi="Cambria" w:cs="Cambria"/>
        </w:rPr>
        <w:t>dengan</w:t>
      </w:r>
      <w:proofErr w:type="spellEnd"/>
      <w:r>
        <w:rPr>
          <w:rFonts w:ascii="Cambria" w:eastAsia="Cambria" w:hAnsi="Cambria" w:cs="Cambria"/>
        </w:rPr>
        <w:t xml:space="preserve"> </w:t>
      </w:r>
      <w:proofErr w:type="spellStart"/>
      <w:r>
        <w:rPr>
          <w:rFonts w:ascii="Cambria" w:eastAsia="Cambria" w:hAnsi="Cambria" w:cs="Cambria"/>
        </w:rPr>
        <w:t>warna</w:t>
      </w:r>
      <w:proofErr w:type="spellEnd"/>
      <w:r>
        <w:rPr>
          <w:rFonts w:ascii="Cambria" w:eastAsia="Cambria" w:hAnsi="Cambria" w:cs="Cambria"/>
        </w:rPr>
        <w:t xml:space="preserve"> biscuit formula yang </w:t>
      </w:r>
      <w:proofErr w:type="spellStart"/>
      <w:r>
        <w:rPr>
          <w:rFonts w:ascii="Cambria" w:eastAsia="Cambria" w:hAnsi="Cambria" w:cs="Cambria"/>
        </w:rPr>
        <w:t>ditambahkan</w:t>
      </w:r>
      <w:proofErr w:type="spellEnd"/>
      <w:r>
        <w:rPr>
          <w:rFonts w:ascii="Cambria" w:eastAsia="Cambria" w:hAnsi="Cambria" w:cs="Cambria"/>
        </w:rPr>
        <w:t xml:space="preserve"> </w:t>
      </w:r>
      <w:proofErr w:type="spellStart"/>
      <w:r>
        <w:rPr>
          <w:rFonts w:ascii="Cambria" w:eastAsia="Cambria" w:hAnsi="Cambria" w:cs="Cambria"/>
        </w:rPr>
        <w:t>tepung</w:t>
      </w:r>
      <w:proofErr w:type="spellEnd"/>
      <w:r>
        <w:rPr>
          <w:rFonts w:ascii="Cambria" w:eastAsia="Cambria" w:hAnsi="Cambria" w:cs="Cambria"/>
        </w:rPr>
        <w:t xml:space="preserve"> ubi </w:t>
      </w:r>
      <w:proofErr w:type="spellStart"/>
      <w:r>
        <w:rPr>
          <w:rFonts w:ascii="Cambria" w:eastAsia="Cambria" w:hAnsi="Cambria" w:cs="Cambria"/>
        </w:rPr>
        <w:t>jalar</w:t>
      </w:r>
      <w:proofErr w:type="spellEnd"/>
      <w:r>
        <w:rPr>
          <w:rFonts w:ascii="Cambria" w:eastAsia="Cambria" w:hAnsi="Cambria" w:cs="Cambria"/>
        </w:rPr>
        <w:t xml:space="preserve">. Pada biscuit control </w:t>
      </w:r>
      <w:proofErr w:type="spellStart"/>
      <w:r>
        <w:rPr>
          <w:rFonts w:ascii="Cambria" w:eastAsia="Cambria" w:hAnsi="Cambria" w:cs="Cambria"/>
        </w:rPr>
        <w:t>berwarna</w:t>
      </w:r>
      <w:proofErr w:type="spellEnd"/>
      <w:r>
        <w:rPr>
          <w:rFonts w:ascii="Cambria" w:eastAsia="Cambria" w:hAnsi="Cambria" w:cs="Cambria"/>
        </w:rPr>
        <w:t xml:space="preserve"> </w:t>
      </w:r>
      <w:proofErr w:type="spellStart"/>
      <w:r>
        <w:rPr>
          <w:rFonts w:ascii="Cambria" w:eastAsia="Cambria" w:hAnsi="Cambria" w:cs="Cambria"/>
        </w:rPr>
        <w:t>kuning</w:t>
      </w:r>
      <w:proofErr w:type="spellEnd"/>
      <w:r w:rsidR="003C7EFB">
        <w:rPr>
          <w:rFonts w:ascii="Cambria" w:eastAsia="Cambria" w:hAnsi="Cambria" w:cs="Cambria"/>
        </w:rPr>
        <w:t xml:space="preserve"> </w:t>
      </w:r>
      <w:proofErr w:type="spellStart"/>
      <w:r w:rsidR="003C7EFB">
        <w:rPr>
          <w:rFonts w:ascii="Cambria" w:eastAsia="Cambria" w:hAnsi="Cambria" w:cs="Cambria"/>
        </w:rPr>
        <w:t>kehijauan</w:t>
      </w:r>
      <w:proofErr w:type="spellEnd"/>
      <w:r>
        <w:rPr>
          <w:rFonts w:ascii="Cambria" w:eastAsia="Cambria" w:hAnsi="Cambria" w:cs="Cambria"/>
        </w:rPr>
        <w:t xml:space="preserve"> </w:t>
      </w:r>
      <w:proofErr w:type="spellStart"/>
      <w:r>
        <w:rPr>
          <w:rFonts w:ascii="Cambria" w:eastAsia="Cambria" w:hAnsi="Cambria" w:cs="Cambria"/>
        </w:rPr>
        <w:t>sedangkan</w:t>
      </w:r>
      <w:proofErr w:type="spellEnd"/>
      <w:r w:rsidR="003C7EFB">
        <w:rPr>
          <w:rFonts w:ascii="Cambria" w:eastAsia="Cambria" w:hAnsi="Cambria" w:cs="Cambria"/>
        </w:rPr>
        <w:t xml:space="preserve"> biscuit formula ubi </w:t>
      </w:r>
      <w:proofErr w:type="spellStart"/>
      <w:r w:rsidR="003C7EFB">
        <w:rPr>
          <w:rFonts w:ascii="Cambria" w:eastAsia="Cambria" w:hAnsi="Cambria" w:cs="Cambria"/>
        </w:rPr>
        <w:t>jalar</w:t>
      </w:r>
      <w:proofErr w:type="spellEnd"/>
      <w:r w:rsidR="003C7EFB">
        <w:rPr>
          <w:rFonts w:ascii="Cambria" w:eastAsia="Cambria" w:hAnsi="Cambria" w:cs="Cambria"/>
        </w:rPr>
        <w:t xml:space="preserve"> </w:t>
      </w:r>
      <w:proofErr w:type="spellStart"/>
      <w:r w:rsidR="003C7EFB">
        <w:rPr>
          <w:rFonts w:ascii="Cambria" w:eastAsia="Cambria" w:hAnsi="Cambria" w:cs="Cambria"/>
        </w:rPr>
        <w:t>berwarna</w:t>
      </w:r>
      <w:proofErr w:type="spellEnd"/>
      <w:r w:rsidR="003C7EFB">
        <w:rPr>
          <w:rFonts w:ascii="Cambria" w:eastAsia="Cambria" w:hAnsi="Cambria" w:cs="Cambria"/>
        </w:rPr>
        <w:t xml:space="preserve"> </w:t>
      </w:r>
      <w:proofErr w:type="spellStart"/>
      <w:r w:rsidR="003C7EFB">
        <w:rPr>
          <w:rFonts w:ascii="Cambria" w:eastAsia="Cambria" w:hAnsi="Cambria" w:cs="Cambria"/>
        </w:rPr>
        <w:t>coklat</w:t>
      </w:r>
      <w:proofErr w:type="spellEnd"/>
      <w:r w:rsidR="003C7EFB">
        <w:rPr>
          <w:rFonts w:ascii="Cambria" w:eastAsia="Cambria" w:hAnsi="Cambria" w:cs="Cambria"/>
        </w:rPr>
        <w:t xml:space="preserve"> dan </w:t>
      </w:r>
      <w:proofErr w:type="spellStart"/>
      <w:r w:rsidR="003C7EFB">
        <w:rPr>
          <w:rFonts w:ascii="Cambria" w:eastAsia="Cambria" w:hAnsi="Cambria" w:cs="Cambria"/>
        </w:rPr>
        <w:t>coklat</w:t>
      </w:r>
      <w:proofErr w:type="spellEnd"/>
      <w:r w:rsidR="003C7EFB">
        <w:rPr>
          <w:rFonts w:ascii="Cambria" w:eastAsia="Cambria" w:hAnsi="Cambria" w:cs="Cambria"/>
        </w:rPr>
        <w:t xml:space="preserve"> </w:t>
      </w:r>
      <w:proofErr w:type="spellStart"/>
      <w:r w:rsidR="003C7EFB">
        <w:rPr>
          <w:rFonts w:ascii="Cambria" w:eastAsia="Cambria" w:hAnsi="Cambria" w:cs="Cambria"/>
        </w:rPr>
        <w:t>kehitaman</w:t>
      </w:r>
      <w:proofErr w:type="spellEnd"/>
      <w:r w:rsidR="003C7EFB">
        <w:rPr>
          <w:rFonts w:ascii="Cambria" w:eastAsia="Cambria" w:hAnsi="Cambria" w:cs="Cambria"/>
        </w:rPr>
        <w:t xml:space="preserve">. </w:t>
      </w:r>
      <w:proofErr w:type="spellStart"/>
      <w:r w:rsidR="003C7EFB">
        <w:rPr>
          <w:rFonts w:ascii="Cambria" w:eastAsia="Cambria" w:hAnsi="Cambria" w:cs="Cambria"/>
        </w:rPr>
        <w:t>Semakin</w:t>
      </w:r>
      <w:proofErr w:type="spellEnd"/>
      <w:r w:rsidR="003C7EFB">
        <w:rPr>
          <w:rFonts w:ascii="Cambria" w:eastAsia="Cambria" w:hAnsi="Cambria" w:cs="Cambria"/>
        </w:rPr>
        <w:t xml:space="preserve"> </w:t>
      </w:r>
      <w:proofErr w:type="spellStart"/>
      <w:r w:rsidR="003C7EFB">
        <w:rPr>
          <w:rFonts w:ascii="Cambria" w:eastAsia="Cambria" w:hAnsi="Cambria" w:cs="Cambria"/>
        </w:rPr>
        <w:t>banyak</w:t>
      </w:r>
      <w:proofErr w:type="spellEnd"/>
      <w:r w:rsidR="003C7EFB">
        <w:rPr>
          <w:rFonts w:ascii="Cambria" w:eastAsia="Cambria" w:hAnsi="Cambria" w:cs="Cambria"/>
        </w:rPr>
        <w:t xml:space="preserve"> </w:t>
      </w:r>
      <w:proofErr w:type="spellStart"/>
      <w:r w:rsidR="003C7EFB">
        <w:rPr>
          <w:rFonts w:ascii="Cambria" w:eastAsia="Cambria" w:hAnsi="Cambria" w:cs="Cambria"/>
        </w:rPr>
        <w:t>komposisi</w:t>
      </w:r>
      <w:proofErr w:type="spellEnd"/>
      <w:r w:rsidR="003C7EFB">
        <w:rPr>
          <w:rFonts w:ascii="Cambria" w:eastAsia="Cambria" w:hAnsi="Cambria" w:cs="Cambria"/>
        </w:rPr>
        <w:t xml:space="preserve"> </w:t>
      </w:r>
      <w:proofErr w:type="spellStart"/>
      <w:r w:rsidR="003C7EFB">
        <w:rPr>
          <w:rFonts w:ascii="Cambria" w:eastAsia="Cambria" w:hAnsi="Cambria" w:cs="Cambria"/>
        </w:rPr>
        <w:t>tepung</w:t>
      </w:r>
      <w:proofErr w:type="spellEnd"/>
      <w:r w:rsidR="003C7EFB">
        <w:rPr>
          <w:rFonts w:ascii="Cambria" w:eastAsia="Cambria" w:hAnsi="Cambria" w:cs="Cambria"/>
        </w:rPr>
        <w:t xml:space="preserve"> ubi </w:t>
      </w:r>
      <w:proofErr w:type="spellStart"/>
      <w:r w:rsidR="003C7EFB">
        <w:rPr>
          <w:rFonts w:ascii="Cambria" w:eastAsia="Cambria" w:hAnsi="Cambria" w:cs="Cambria"/>
        </w:rPr>
        <w:t>jalar</w:t>
      </w:r>
      <w:proofErr w:type="spellEnd"/>
      <w:r w:rsidR="003C7EFB">
        <w:rPr>
          <w:rFonts w:ascii="Cambria" w:eastAsia="Cambria" w:hAnsi="Cambria" w:cs="Cambria"/>
        </w:rPr>
        <w:t xml:space="preserve"> </w:t>
      </w:r>
      <w:proofErr w:type="spellStart"/>
      <w:r w:rsidR="003C7EFB">
        <w:rPr>
          <w:rFonts w:ascii="Cambria" w:eastAsia="Cambria" w:hAnsi="Cambria" w:cs="Cambria"/>
        </w:rPr>
        <w:t>warna</w:t>
      </w:r>
      <w:proofErr w:type="spellEnd"/>
      <w:r w:rsidR="003C7EFB">
        <w:rPr>
          <w:rFonts w:ascii="Cambria" w:eastAsia="Cambria" w:hAnsi="Cambria" w:cs="Cambria"/>
        </w:rPr>
        <w:t xml:space="preserve"> biscuit </w:t>
      </w:r>
      <w:proofErr w:type="spellStart"/>
      <w:r w:rsidR="003C7EFB">
        <w:rPr>
          <w:rFonts w:ascii="Cambria" w:eastAsia="Cambria" w:hAnsi="Cambria" w:cs="Cambria"/>
        </w:rPr>
        <w:t>menjadi</w:t>
      </w:r>
      <w:proofErr w:type="spellEnd"/>
      <w:r w:rsidR="003C7EFB">
        <w:rPr>
          <w:rFonts w:ascii="Cambria" w:eastAsia="Cambria" w:hAnsi="Cambria" w:cs="Cambria"/>
        </w:rPr>
        <w:t xml:space="preserve"> </w:t>
      </w:r>
      <w:proofErr w:type="spellStart"/>
      <w:r w:rsidR="003C7EFB">
        <w:rPr>
          <w:rFonts w:ascii="Cambria" w:eastAsia="Cambria" w:hAnsi="Cambria" w:cs="Cambria"/>
        </w:rPr>
        <w:t>semakin</w:t>
      </w:r>
      <w:proofErr w:type="spellEnd"/>
      <w:r w:rsidR="003C7EFB">
        <w:rPr>
          <w:rFonts w:ascii="Cambria" w:eastAsia="Cambria" w:hAnsi="Cambria" w:cs="Cambria"/>
        </w:rPr>
        <w:t xml:space="preserve"> </w:t>
      </w:r>
      <w:proofErr w:type="spellStart"/>
      <w:r w:rsidR="003C7EFB">
        <w:rPr>
          <w:rFonts w:ascii="Cambria" w:eastAsia="Cambria" w:hAnsi="Cambria" w:cs="Cambria"/>
        </w:rPr>
        <w:t>gelap</w:t>
      </w:r>
      <w:proofErr w:type="spellEnd"/>
      <w:r w:rsidR="003C7EFB">
        <w:rPr>
          <w:rFonts w:ascii="Cambria" w:eastAsia="Cambria" w:hAnsi="Cambria" w:cs="Cambria"/>
        </w:rPr>
        <w:t>.</w:t>
      </w:r>
      <w:r w:rsidR="0094722B">
        <w:rPr>
          <w:rFonts w:ascii="Cambria" w:eastAsia="Cambria" w:hAnsi="Cambria" w:cs="Cambria"/>
        </w:rPr>
        <w:t xml:space="preserve"> Hal </w:t>
      </w:r>
      <w:proofErr w:type="spellStart"/>
      <w:r w:rsidR="0094722B">
        <w:rPr>
          <w:rFonts w:ascii="Cambria" w:eastAsia="Cambria" w:hAnsi="Cambria" w:cs="Cambria"/>
        </w:rPr>
        <w:t>ini</w:t>
      </w:r>
      <w:proofErr w:type="spellEnd"/>
      <w:r w:rsidR="0094722B">
        <w:rPr>
          <w:rFonts w:ascii="Cambria" w:eastAsia="Cambria" w:hAnsi="Cambria" w:cs="Cambria"/>
        </w:rPr>
        <w:t xml:space="preserve"> </w:t>
      </w:r>
      <w:proofErr w:type="spellStart"/>
      <w:r w:rsidR="0094722B">
        <w:rPr>
          <w:rFonts w:ascii="Cambria" w:eastAsia="Cambria" w:hAnsi="Cambria" w:cs="Cambria"/>
        </w:rPr>
        <w:t>sesuai</w:t>
      </w:r>
      <w:proofErr w:type="spellEnd"/>
      <w:r w:rsidR="0094722B">
        <w:rPr>
          <w:rFonts w:ascii="Cambria" w:eastAsia="Cambria" w:hAnsi="Cambria" w:cs="Cambria"/>
        </w:rPr>
        <w:t xml:space="preserve"> </w:t>
      </w:r>
      <w:proofErr w:type="spellStart"/>
      <w:r w:rsidR="0094722B">
        <w:rPr>
          <w:rFonts w:ascii="Cambria" w:eastAsia="Cambria" w:hAnsi="Cambria" w:cs="Cambria"/>
        </w:rPr>
        <w:t>dengan</w:t>
      </w:r>
      <w:proofErr w:type="spellEnd"/>
      <w:r w:rsidR="0094722B">
        <w:rPr>
          <w:rFonts w:ascii="Cambria" w:eastAsia="Cambria" w:hAnsi="Cambria" w:cs="Cambria"/>
        </w:rPr>
        <w:t xml:space="preserve"> </w:t>
      </w:r>
      <w:proofErr w:type="spellStart"/>
      <w:r w:rsidR="0094722B">
        <w:rPr>
          <w:rFonts w:ascii="Cambria" w:eastAsia="Cambria" w:hAnsi="Cambria" w:cs="Cambria"/>
        </w:rPr>
        <w:t>penelitian</w:t>
      </w:r>
      <w:proofErr w:type="spellEnd"/>
      <w:r w:rsidR="002D463A">
        <w:rPr>
          <w:rFonts w:ascii="Cambria" w:eastAsia="Cambria" w:hAnsi="Cambria" w:cs="Cambria"/>
        </w:rPr>
        <w:t xml:space="preserve"> lain </w:t>
      </w:r>
      <w:r w:rsidR="002D463A">
        <w:rPr>
          <w:rFonts w:ascii="Cambria" w:eastAsia="Cambria" w:hAnsi="Cambria" w:cs="Cambria"/>
        </w:rPr>
        <w:fldChar w:fldCharType="begin" w:fldLock="1"/>
      </w:r>
      <w:r w:rsidR="00A90776">
        <w:rPr>
          <w:rFonts w:ascii="Cambria" w:eastAsia="Cambria" w:hAnsi="Cambria" w:cs="Cambria"/>
        </w:rPr>
        <w:instrText>ADDIN CSL_CITATION {"citationItems":[{"id":"ITEM-1","itemData":{"DOI":"10.20473/mgi.v12i2.156-163","ISSN":"1693-7228","abstract":"The use of purple sweet potato fl our and soy protein isolates to be processed into protein biscuit has a good potential to be an appropriate supplementary food for chronic energy deficiency (CED) pregnant woman compared to biscuits commercialized on market. This research aimed to investigate the acceptance and protein content of biscuits that had been substituted with purple sweet potato fl our and soy protein isolates. This research was true experimental design with completely randomized design (RAL) with 6 repetitions. There was 3 formulas which were 1 control formula (F0) and 2 modified formulas (F1, F2). The total of purple sweet potato fl our substitution on F1 was 170 g and F2 was 90 g, meanwhile the total of soy protein isolate substitution on F1 was 30 g and F2 was 10 g. The data was analyzed by applying descriptive analyses which was tested by Kruskal Wallis and Mann Whitney to find the effect among formulas. The result of this research showed that generally the assessment of biscuit was well accepted by pregnant woman and the highest average of acceptance was F2 formula. The assessment of the highest acceptance for color and aroma characteristic was F2. The assessment of color, aroma, and taste among formulas had no significant impact (α&lt;0.05), meanwhile on texture characteristic there was significant effect (α&gt;0.05). The best formula (F2) has a good acceptance and posses protein content of 11.9 g per 100 g that can fulfill the need of 10% protein for pregnant woman so it can be used as supplementary food for pregnant woman.","author":[{"dropping-particle":"","family":"Fatmala","given":"Iga Ayuni","non-dropping-particle":"","parse-names":false,"suffix":""},{"dropping-particle":"","family":"Adi","given":"Annis Catur","non-dropping-particle":"","parse-names":false,"suffix":""}],"container-title":"Media Gizi Indonesia","id":"ITEM-1","issue":"2","issued":{"date-parts":[["2018"]]},"page":"156","title":"Daya Terima Dan Kandungan Protein Biskuit Substitusi Tepung Ubi Jalar Ungu Dan Isolat Protein Kedelai Untuk Pemberian Makanan Tambahan Ibu Hamil Kek","type":"article-journal","volume":"12"},"uris":["http://www.mendeley.com/documents/?uuid=c4159216-3cf1-45ef-b796-2fb3ce9c721b"]}],"mendeley":{"formattedCitation":"(Fatmala &amp; Adi, 2018)","plainTextFormattedCitation":"(Fatmala &amp; Adi, 2018)","previouslyFormattedCitation":"(Fatmala &amp; Adi, 2018)"},"properties":{"noteIndex":0},"schema":"https://github.com/citation-style-language/schema/raw/master/csl-citation.json"}</w:instrText>
      </w:r>
      <w:r w:rsidR="002D463A">
        <w:rPr>
          <w:rFonts w:ascii="Cambria" w:eastAsia="Cambria" w:hAnsi="Cambria" w:cs="Cambria"/>
        </w:rPr>
        <w:fldChar w:fldCharType="separate"/>
      </w:r>
      <w:r w:rsidR="002D463A" w:rsidRPr="002D463A">
        <w:rPr>
          <w:rFonts w:ascii="Cambria" w:eastAsia="Cambria" w:hAnsi="Cambria" w:cs="Cambria"/>
          <w:noProof/>
        </w:rPr>
        <w:t>(Fatmala &amp; Adi, 2018)</w:t>
      </w:r>
      <w:r w:rsidR="002D463A">
        <w:rPr>
          <w:rFonts w:ascii="Cambria" w:eastAsia="Cambria" w:hAnsi="Cambria" w:cs="Cambria"/>
        </w:rPr>
        <w:fldChar w:fldCharType="end"/>
      </w:r>
      <w:r w:rsidR="0094722B">
        <w:rPr>
          <w:rFonts w:ascii="Cambria" w:eastAsia="Cambria" w:hAnsi="Cambria" w:cs="Cambria"/>
        </w:rPr>
        <w:t xml:space="preserve"> </w:t>
      </w:r>
      <w:r w:rsidR="002D463A">
        <w:rPr>
          <w:rFonts w:ascii="Cambria" w:eastAsia="Cambria" w:hAnsi="Cambria" w:cs="Cambria"/>
        </w:rPr>
        <w:t xml:space="preserve">yang </w:t>
      </w:r>
      <w:proofErr w:type="spellStart"/>
      <w:r w:rsidR="002D463A">
        <w:rPr>
          <w:rFonts w:ascii="Cambria" w:eastAsia="Cambria" w:hAnsi="Cambria" w:cs="Cambria"/>
        </w:rPr>
        <w:t>menyatakan</w:t>
      </w:r>
      <w:proofErr w:type="spellEnd"/>
      <w:r w:rsidR="002D463A">
        <w:rPr>
          <w:rFonts w:ascii="Cambria" w:eastAsia="Cambria" w:hAnsi="Cambria" w:cs="Cambria"/>
        </w:rPr>
        <w:t xml:space="preserve"> </w:t>
      </w:r>
      <w:proofErr w:type="spellStart"/>
      <w:r w:rsidR="0094722B">
        <w:rPr>
          <w:rFonts w:ascii="Cambria" w:eastAsia="Cambria" w:hAnsi="Cambria" w:cs="Cambria"/>
        </w:rPr>
        <w:t>bahwa</w:t>
      </w:r>
      <w:proofErr w:type="spellEnd"/>
      <w:r w:rsidR="0094722B">
        <w:rPr>
          <w:rFonts w:ascii="Cambria" w:eastAsia="Cambria" w:hAnsi="Cambria" w:cs="Cambria"/>
        </w:rPr>
        <w:t xml:space="preserve"> </w:t>
      </w:r>
      <w:proofErr w:type="spellStart"/>
      <w:r w:rsidR="0094722B">
        <w:rPr>
          <w:rFonts w:ascii="Cambria" w:eastAsia="Cambria" w:hAnsi="Cambria" w:cs="Cambria"/>
        </w:rPr>
        <w:t>penambahan</w:t>
      </w:r>
      <w:proofErr w:type="spellEnd"/>
      <w:r w:rsidR="0094722B">
        <w:rPr>
          <w:rFonts w:ascii="Cambria" w:eastAsia="Cambria" w:hAnsi="Cambria" w:cs="Cambria"/>
        </w:rPr>
        <w:t xml:space="preserve"> </w:t>
      </w:r>
      <w:proofErr w:type="spellStart"/>
      <w:r w:rsidR="0094722B">
        <w:rPr>
          <w:rFonts w:ascii="Cambria" w:eastAsia="Cambria" w:hAnsi="Cambria" w:cs="Cambria"/>
        </w:rPr>
        <w:t>tepung</w:t>
      </w:r>
      <w:proofErr w:type="spellEnd"/>
      <w:r w:rsidR="0094722B">
        <w:rPr>
          <w:rFonts w:ascii="Cambria" w:eastAsia="Cambria" w:hAnsi="Cambria" w:cs="Cambria"/>
        </w:rPr>
        <w:t xml:space="preserve"> ubi </w:t>
      </w:r>
      <w:proofErr w:type="spellStart"/>
      <w:r w:rsidR="0094722B">
        <w:rPr>
          <w:rFonts w:ascii="Cambria" w:eastAsia="Cambria" w:hAnsi="Cambria" w:cs="Cambria"/>
        </w:rPr>
        <w:t>jalar</w:t>
      </w:r>
      <w:proofErr w:type="spellEnd"/>
      <w:r w:rsidR="0094722B">
        <w:rPr>
          <w:rFonts w:ascii="Cambria" w:eastAsia="Cambria" w:hAnsi="Cambria" w:cs="Cambria"/>
        </w:rPr>
        <w:t xml:space="preserve"> </w:t>
      </w:r>
      <w:proofErr w:type="spellStart"/>
      <w:r w:rsidR="0094722B">
        <w:rPr>
          <w:rFonts w:ascii="Cambria" w:eastAsia="Cambria" w:hAnsi="Cambria" w:cs="Cambria"/>
        </w:rPr>
        <w:t>ungu</w:t>
      </w:r>
      <w:proofErr w:type="spellEnd"/>
      <w:r w:rsidR="0094722B">
        <w:rPr>
          <w:rFonts w:ascii="Cambria" w:eastAsia="Cambria" w:hAnsi="Cambria" w:cs="Cambria"/>
        </w:rPr>
        <w:t xml:space="preserve"> </w:t>
      </w:r>
      <w:proofErr w:type="spellStart"/>
      <w:r w:rsidR="0094722B">
        <w:rPr>
          <w:rFonts w:ascii="Cambria" w:eastAsia="Cambria" w:hAnsi="Cambria" w:cs="Cambria"/>
        </w:rPr>
        <w:t>menjadikan</w:t>
      </w:r>
      <w:proofErr w:type="spellEnd"/>
      <w:r w:rsidR="0094722B">
        <w:rPr>
          <w:rFonts w:ascii="Cambria" w:eastAsia="Cambria" w:hAnsi="Cambria" w:cs="Cambria"/>
        </w:rPr>
        <w:t xml:space="preserve"> </w:t>
      </w:r>
      <w:proofErr w:type="spellStart"/>
      <w:r w:rsidR="0094722B">
        <w:rPr>
          <w:rFonts w:ascii="Cambria" w:eastAsia="Cambria" w:hAnsi="Cambria" w:cs="Cambria"/>
        </w:rPr>
        <w:t>warna</w:t>
      </w:r>
      <w:proofErr w:type="spellEnd"/>
      <w:r w:rsidR="0094722B">
        <w:rPr>
          <w:rFonts w:ascii="Cambria" w:eastAsia="Cambria" w:hAnsi="Cambria" w:cs="Cambria"/>
        </w:rPr>
        <w:t xml:space="preserve"> biscuit </w:t>
      </w:r>
      <w:proofErr w:type="spellStart"/>
      <w:r w:rsidR="0094722B">
        <w:rPr>
          <w:rFonts w:ascii="Cambria" w:eastAsia="Cambria" w:hAnsi="Cambria" w:cs="Cambria"/>
        </w:rPr>
        <w:t>semakin</w:t>
      </w:r>
      <w:proofErr w:type="spellEnd"/>
      <w:r w:rsidR="0094722B">
        <w:rPr>
          <w:rFonts w:ascii="Cambria" w:eastAsia="Cambria" w:hAnsi="Cambria" w:cs="Cambria"/>
        </w:rPr>
        <w:t xml:space="preserve"> </w:t>
      </w:r>
      <w:proofErr w:type="spellStart"/>
      <w:r w:rsidR="0094722B">
        <w:rPr>
          <w:rFonts w:ascii="Cambria" w:eastAsia="Cambria" w:hAnsi="Cambria" w:cs="Cambria"/>
        </w:rPr>
        <w:t>gelap</w:t>
      </w:r>
      <w:proofErr w:type="spellEnd"/>
      <w:r w:rsidR="002D463A">
        <w:rPr>
          <w:rFonts w:ascii="Cambria" w:eastAsia="Cambria" w:hAnsi="Cambria" w:cs="Cambria"/>
        </w:rPr>
        <w:t>.</w:t>
      </w:r>
    </w:p>
    <w:p w14:paraId="20A37B92" w14:textId="27DB90B0" w:rsidR="008C4016" w:rsidRDefault="003C7EFB" w:rsidP="00FE7A42">
      <w:pPr>
        <w:pBdr>
          <w:top w:val="nil"/>
          <w:left w:val="nil"/>
          <w:bottom w:val="nil"/>
          <w:right w:val="nil"/>
          <w:between w:val="nil"/>
        </w:pBdr>
        <w:spacing w:after="0" w:line="240" w:lineRule="auto"/>
        <w:ind w:firstLine="567"/>
        <w:jc w:val="both"/>
        <w:rPr>
          <w:rFonts w:ascii="Cambria" w:eastAsia="Cambria" w:hAnsi="Cambria" w:cs="Cambria"/>
        </w:rPr>
      </w:pPr>
      <w:r>
        <w:rPr>
          <w:rFonts w:ascii="Cambria" w:eastAsia="Cambria" w:hAnsi="Cambria" w:cs="Cambria"/>
        </w:rPr>
        <w:t xml:space="preserve"> Pada parameter rasa, </w:t>
      </w:r>
      <w:proofErr w:type="spellStart"/>
      <w:r>
        <w:rPr>
          <w:rFonts w:ascii="Cambria" w:eastAsia="Cambria" w:hAnsi="Cambria" w:cs="Cambria"/>
        </w:rPr>
        <w:t>terlihat</w:t>
      </w:r>
      <w:proofErr w:type="spellEnd"/>
      <w:r>
        <w:rPr>
          <w:rFonts w:ascii="Cambria" w:eastAsia="Cambria" w:hAnsi="Cambria" w:cs="Cambria"/>
        </w:rPr>
        <w:t xml:space="preserve"> </w:t>
      </w:r>
      <w:proofErr w:type="spellStart"/>
      <w:r>
        <w:rPr>
          <w:rFonts w:ascii="Cambria" w:eastAsia="Cambria" w:hAnsi="Cambria" w:cs="Cambria"/>
        </w:rPr>
        <w:t>bahwa</w:t>
      </w:r>
      <w:proofErr w:type="spellEnd"/>
      <w:r>
        <w:rPr>
          <w:rFonts w:ascii="Cambria" w:eastAsia="Cambria" w:hAnsi="Cambria" w:cs="Cambria"/>
        </w:rPr>
        <w:t xml:space="preserve"> </w:t>
      </w:r>
      <w:proofErr w:type="spellStart"/>
      <w:r>
        <w:rPr>
          <w:rFonts w:ascii="Cambria" w:eastAsia="Cambria" w:hAnsi="Cambria" w:cs="Cambria"/>
        </w:rPr>
        <w:t>terdapat</w:t>
      </w:r>
      <w:proofErr w:type="spellEnd"/>
      <w:r>
        <w:rPr>
          <w:rFonts w:ascii="Cambria" w:eastAsia="Cambria" w:hAnsi="Cambria" w:cs="Cambria"/>
        </w:rPr>
        <w:t xml:space="preserve"> </w:t>
      </w:r>
      <w:proofErr w:type="spellStart"/>
      <w:r>
        <w:rPr>
          <w:rFonts w:ascii="Cambria" w:eastAsia="Cambria" w:hAnsi="Cambria" w:cs="Cambria"/>
        </w:rPr>
        <w:t>kecenderungan</w:t>
      </w:r>
      <w:proofErr w:type="spellEnd"/>
      <w:r>
        <w:rPr>
          <w:rFonts w:ascii="Cambria" w:eastAsia="Cambria" w:hAnsi="Cambria" w:cs="Cambria"/>
        </w:rPr>
        <w:t xml:space="preserve"> </w:t>
      </w:r>
      <w:proofErr w:type="spellStart"/>
      <w:r>
        <w:rPr>
          <w:rFonts w:ascii="Cambria" w:eastAsia="Cambria" w:hAnsi="Cambria" w:cs="Cambria"/>
        </w:rPr>
        <w:t>semakin</w:t>
      </w:r>
      <w:proofErr w:type="spellEnd"/>
      <w:r>
        <w:rPr>
          <w:rFonts w:ascii="Cambria" w:eastAsia="Cambria" w:hAnsi="Cambria" w:cs="Cambria"/>
        </w:rPr>
        <w:t xml:space="preserve"> </w:t>
      </w:r>
      <w:proofErr w:type="spellStart"/>
      <w:r>
        <w:rPr>
          <w:rFonts w:ascii="Cambria" w:eastAsia="Cambria" w:hAnsi="Cambria" w:cs="Cambria"/>
        </w:rPr>
        <w:t>sedikit</w:t>
      </w:r>
      <w:proofErr w:type="spellEnd"/>
      <w:r>
        <w:rPr>
          <w:rFonts w:ascii="Cambria" w:eastAsia="Cambria" w:hAnsi="Cambria" w:cs="Cambria"/>
        </w:rPr>
        <w:t xml:space="preserve"> </w:t>
      </w:r>
      <w:proofErr w:type="spellStart"/>
      <w:r>
        <w:rPr>
          <w:rFonts w:ascii="Cambria" w:eastAsia="Cambria" w:hAnsi="Cambria" w:cs="Cambria"/>
        </w:rPr>
        <w:t>komposisi</w:t>
      </w:r>
      <w:proofErr w:type="spellEnd"/>
      <w:r>
        <w:rPr>
          <w:rFonts w:ascii="Cambria" w:eastAsia="Cambria" w:hAnsi="Cambria" w:cs="Cambria"/>
        </w:rPr>
        <w:t xml:space="preserve"> </w:t>
      </w:r>
      <w:proofErr w:type="spellStart"/>
      <w:r>
        <w:rPr>
          <w:rFonts w:ascii="Cambria" w:eastAsia="Cambria" w:hAnsi="Cambria" w:cs="Cambria"/>
        </w:rPr>
        <w:t>tepung</w:t>
      </w:r>
      <w:proofErr w:type="spellEnd"/>
      <w:r>
        <w:rPr>
          <w:rFonts w:ascii="Cambria" w:eastAsia="Cambria" w:hAnsi="Cambria" w:cs="Cambria"/>
        </w:rPr>
        <w:t xml:space="preserve"> ubi </w:t>
      </w:r>
      <w:proofErr w:type="spellStart"/>
      <w:r>
        <w:rPr>
          <w:rFonts w:ascii="Cambria" w:eastAsia="Cambria" w:hAnsi="Cambria" w:cs="Cambria"/>
        </w:rPr>
        <w:t>jalar</w:t>
      </w:r>
      <w:proofErr w:type="spellEnd"/>
      <w:r>
        <w:rPr>
          <w:rFonts w:ascii="Cambria" w:eastAsia="Cambria" w:hAnsi="Cambria" w:cs="Cambria"/>
        </w:rPr>
        <w:t xml:space="preserve"> </w:t>
      </w:r>
      <w:proofErr w:type="spellStart"/>
      <w:r>
        <w:rPr>
          <w:rFonts w:ascii="Cambria" w:eastAsia="Cambria" w:hAnsi="Cambria" w:cs="Cambria"/>
        </w:rPr>
        <w:t>maka</w:t>
      </w:r>
      <w:proofErr w:type="spellEnd"/>
      <w:r>
        <w:rPr>
          <w:rFonts w:ascii="Cambria" w:eastAsia="Cambria" w:hAnsi="Cambria" w:cs="Cambria"/>
        </w:rPr>
        <w:t xml:space="preserve"> rasa biscuit </w:t>
      </w:r>
      <w:proofErr w:type="spellStart"/>
      <w:r>
        <w:rPr>
          <w:rFonts w:ascii="Cambria" w:eastAsia="Cambria" w:hAnsi="Cambria" w:cs="Cambria"/>
        </w:rPr>
        <w:t>semakin</w:t>
      </w:r>
      <w:proofErr w:type="spellEnd"/>
      <w:r>
        <w:rPr>
          <w:rFonts w:ascii="Cambria" w:eastAsia="Cambria" w:hAnsi="Cambria" w:cs="Cambria"/>
        </w:rPr>
        <w:t xml:space="preserve"> </w:t>
      </w:r>
      <w:proofErr w:type="spellStart"/>
      <w:r>
        <w:rPr>
          <w:rFonts w:ascii="Cambria" w:eastAsia="Cambria" w:hAnsi="Cambria" w:cs="Cambria"/>
        </w:rPr>
        <w:t>manis</w:t>
      </w:r>
      <w:proofErr w:type="spellEnd"/>
      <w:r>
        <w:rPr>
          <w:rFonts w:ascii="Cambria" w:eastAsia="Cambria" w:hAnsi="Cambria" w:cs="Cambria"/>
        </w:rPr>
        <w:t xml:space="preserve">. </w:t>
      </w:r>
      <w:proofErr w:type="spellStart"/>
      <w:r w:rsidR="004B6BCA">
        <w:rPr>
          <w:rFonts w:ascii="Cambria" w:eastAsia="Cambria" w:hAnsi="Cambria" w:cs="Cambria"/>
        </w:rPr>
        <w:t>Beberapa</w:t>
      </w:r>
      <w:proofErr w:type="spellEnd"/>
      <w:r w:rsidR="004B6BCA">
        <w:rPr>
          <w:rFonts w:ascii="Cambria" w:eastAsia="Cambria" w:hAnsi="Cambria" w:cs="Cambria"/>
        </w:rPr>
        <w:t xml:space="preserve"> </w:t>
      </w:r>
      <w:proofErr w:type="spellStart"/>
      <w:r w:rsidR="004B6BCA">
        <w:rPr>
          <w:rFonts w:ascii="Cambria" w:eastAsia="Cambria" w:hAnsi="Cambria" w:cs="Cambria"/>
        </w:rPr>
        <w:t>komentar</w:t>
      </w:r>
      <w:proofErr w:type="spellEnd"/>
      <w:r w:rsidR="004B6BCA">
        <w:rPr>
          <w:rFonts w:ascii="Cambria" w:eastAsia="Cambria" w:hAnsi="Cambria" w:cs="Cambria"/>
        </w:rPr>
        <w:t xml:space="preserve"> </w:t>
      </w:r>
      <w:proofErr w:type="spellStart"/>
      <w:r w:rsidR="004B6BCA">
        <w:rPr>
          <w:rFonts w:ascii="Cambria" w:eastAsia="Cambria" w:hAnsi="Cambria" w:cs="Cambria"/>
        </w:rPr>
        <w:t>dari</w:t>
      </w:r>
      <w:proofErr w:type="spellEnd"/>
      <w:r w:rsidR="004B6BCA">
        <w:rPr>
          <w:rFonts w:ascii="Cambria" w:eastAsia="Cambria" w:hAnsi="Cambria" w:cs="Cambria"/>
        </w:rPr>
        <w:t xml:space="preserve"> </w:t>
      </w:r>
      <w:proofErr w:type="spellStart"/>
      <w:r w:rsidR="004B6BCA">
        <w:rPr>
          <w:rFonts w:ascii="Cambria" w:eastAsia="Cambria" w:hAnsi="Cambria" w:cs="Cambria"/>
        </w:rPr>
        <w:t>panelis</w:t>
      </w:r>
      <w:proofErr w:type="spellEnd"/>
      <w:r w:rsidR="004B6BCA">
        <w:rPr>
          <w:rFonts w:ascii="Cambria" w:eastAsia="Cambria" w:hAnsi="Cambria" w:cs="Cambria"/>
        </w:rPr>
        <w:t xml:space="preserve"> </w:t>
      </w:r>
      <w:proofErr w:type="spellStart"/>
      <w:r w:rsidR="004B6BCA">
        <w:rPr>
          <w:rFonts w:ascii="Cambria" w:eastAsia="Cambria" w:hAnsi="Cambria" w:cs="Cambria"/>
        </w:rPr>
        <w:t>menyatakan</w:t>
      </w:r>
      <w:proofErr w:type="spellEnd"/>
      <w:r w:rsidR="004B6BCA">
        <w:rPr>
          <w:rFonts w:ascii="Cambria" w:eastAsia="Cambria" w:hAnsi="Cambria" w:cs="Cambria"/>
        </w:rPr>
        <w:t xml:space="preserve"> </w:t>
      </w:r>
      <w:proofErr w:type="spellStart"/>
      <w:r w:rsidR="004B6BCA">
        <w:rPr>
          <w:rFonts w:ascii="Cambria" w:eastAsia="Cambria" w:hAnsi="Cambria" w:cs="Cambria"/>
        </w:rPr>
        <w:t>bahwa</w:t>
      </w:r>
      <w:proofErr w:type="spellEnd"/>
      <w:r w:rsidR="004B6BCA">
        <w:rPr>
          <w:rFonts w:ascii="Cambria" w:eastAsia="Cambria" w:hAnsi="Cambria" w:cs="Cambria"/>
        </w:rPr>
        <w:t xml:space="preserve"> rasa biscuit </w:t>
      </w:r>
      <w:proofErr w:type="spellStart"/>
      <w:r w:rsidR="004B6BCA">
        <w:rPr>
          <w:rFonts w:ascii="Cambria" w:eastAsia="Cambria" w:hAnsi="Cambria" w:cs="Cambria"/>
        </w:rPr>
        <w:t>rempah</w:t>
      </w:r>
      <w:proofErr w:type="spellEnd"/>
      <w:r w:rsidR="004B6BCA">
        <w:rPr>
          <w:rFonts w:ascii="Cambria" w:eastAsia="Cambria" w:hAnsi="Cambria" w:cs="Cambria"/>
        </w:rPr>
        <w:t xml:space="preserve"> </w:t>
      </w:r>
      <w:proofErr w:type="spellStart"/>
      <w:r w:rsidR="004B6BCA">
        <w:rPr>
          <w:rFonts w:ascii="Cambria" w:eastAsia="Cambria" w:hAnsi="Cambria" w:cs="Cambria"/>
        </w:rPr>
        <w:t>ini</w:t>
      </w:r>
      <w:proofErr w:type="spellEnd"/>
      <w:r w:rsidR="004B6BCA">
        <w:rPr>
          <w:rFonts w:ascii="Cambria" w:eastAsia="Cambria" w:hAnsi="Cambria" w:cs="Cambria"/>
        </w:rPr>
        <w:t xml:space="preserve"> </w:t>
      </w:r>
      <w:proofErr w:type="spellStart"/>
      <w:r w:rsidR="004B6BCA">
        <w:rPr>
          <w:rFonts w:ascii="Cambria" w:eastAsia="Cambria" w:hAnsi="Cambria" w:cs="Cambria"/>
        </w:rPr>
        <w:t>kurang</w:t>
      </w:r>
      <w:proofErr w:type="spellEnd"/>
      <w:r w:rsidR="004B6BCA">
        <w:rPr>
          <w:rFonts w:ascii="Cambria" w:eastAsia="Cambria" w:hAnsi="Cambria" w:cs="Cambria"/>
        </w:rPr>
        <w:t xml:space="preserve"> </w:t>
      </w:r>
      <w:proofErr w:type="spellStart"/>
      <w:r w:rsidR="004B6BCA">
        <w:rPr>
          <w:rFonts w:ascii="Cambria" w:eastAsia="Cambria" w:hAnsi="Cambria" w:cs="Cambria"/>
        </w:rPr>
        <w:t>manis</w:t>
      </w:r>
      <w:proofErr w:type="spellEnd"/>
      <w:r w:rsidR="004B6BCA">
        <w:rPr>
          <w:rFonts w:ascii="Cambria" w:eastAsia="Cambria" w:hAnsi="Cambria" w:cs="Cambria"/>
        </w:rPr>
        <w:t xml:space="preserve"> dan </w:t>
      </w:r>
      <w:proofErr w:type="spellStart"/>
      <w:r w:rsidR="004B6BCA">
        <w:rPr>
          <w:rFonts w:ascii="Cambria" w:eastAsia="Cambria" w:hAnsi="Cambria" w:cs="Cambria"/>
        </w:rPr>
        <w:t>agak</w:t>
      </w:r>
      <w:proofErr w:type="spellEnd"/>
      <w:r w:rsidR="004B6BCA">
        <w:rPr>
          <w:rFonts w:ascii="Cambria" w:eastAsia="Cambria" w:hAnsi="Cambria" w:cs="Cambria"/>
        </w:rPr>
        <w:t xml:space="preserve"> </w:t>
      </w:r>
      <w:proofErr w:type="spellStart"/>
      <w:r w:rsidR="004B6BCA">
        <w:rPr>
          <w:rFonts w:ascii="Cambria" w:eastAsia="Cambria" w:hAnsi="Cambria" w:cs="Cambria"/>
        </w:rPr>
        <w:t>pahit</w:t>
      </w:r>
      <w:proofErr w:type="spellEnd"/>
      <w:r w:rsidR="004B6BCA">
        <w:rPr>
          <w:rFonts w:ascii="Cambria" w:eastAsia="Cambria" w:hAnsi="Cambria" w:cs="Cambria"/>
        </w:rPr>
        <w:t xml:space="preserve">. </w:t>
      </w:r>
      <w:proofErr w:type="spellStart"/>
      <w:r>
        <w:rPr>
          <w:rFonts w:ascii="Cambria" w:eastAsia="Cambria" w:hAnsi="Cambria" w:cs="Cambria"/>
        </w:rPr>
        <w:t>Untuk</w:t>
      </w:r>
      <w:proofErr w:type="spellEnd"/>
      <w:r>
        <w:rPr>
          <w:rFonts w:ascii="Cambria" w:eastAsia="Cambria" w:hAnsi="Cambria" w:cs="Cambria"/>
        </w:rPr>
        <w:t xml:space="preserve"> </w:t>
      </w:r>
      <w:proofErr w:type="spellStart"/>
      <w:r>
        <w:rPr>
          <w:rFonts w:ascii="Cambria" w:eastAsia="Cambria" w:hAnsi="Cambria" w:cs="Cambria"/>
        </w:rPr>
        <w:t>paramerer</w:t>
      </w:r>
      <w:proofErr w:type="spellEnd"/>
      <w:r>
        <w:rPr>
          <w:rFonts w:ascii="Cambria" w:eastAsia="Cambria" w:hAnsi="Cambria" w:cs="Cambria"/>
        </w:rPr>
        <w:t xml:space="preserve"> </w:t>
      </w:r>
      <w:r w:rsidR="007346E4" w:rsidRPr="007346E4">
        <w:rPr>
          <w:rFonts w:ascii="Cambria" w:eastAsia="Cambria" w:hAnsi="Cambria" w:cs="Cambria"/>
          <w:i/>
          <w:iCs/>
        </w:rPr>
        <w:t>aftertaste</w:t>
      </w:r>
      <w:r>
        <w:rPr>
          <w:rFonts w:ascii="Cambria" w:eastAsia="Cambria" w:hAnsi="Cambria" w:cs="Cambria"/>
        </w:rPr>
        <w:t xml:space="preserve"> </w:t>
      </w:r>
      <w:proofErr w:type="spellStart"/>
      <w:r>
        <w:rPr>
          <w:rFonts w:ascii="Cambria" w:eastAsia="Cambria" w:hAnsi="Cambria" w:cs="Cambria"/>
        </w:rPr>
        <w:t>terlihat</w:t>
      </w:r>
      <w:proofErr w:type="spellEnd"/>
      <w:r>
        <w:rPr>
          <w:rFonts w:ascii="Cambria" w:eastAsia="Cambria" w:hAnsi="Cambria" w:cs="Cambria"/>
        </w:rPr>
        <w:t xml:space="preserve"> </w:t>
      </w:r>
      <w:proofErr w:type="spellStart"/>
      <w:r>
        <w:rPr>
          <w:rFonts w:ascii="Cambria" w:eastAsia="Cambria" w:hAnsi="Cambria" w:cs="Cambria"/>
        </w:rPr>
        <w:t>bahwa</w:t>
      </w:r>
      <w:proofErr w:type="spellEnd"/>
      <w:r>
        <w:rPr>
          <w:rFonts w:ascii="Cambria" w:eastAsia="Cambria" w:hAnsi="Cambria" w:cs="Cambria"/>
        </w:rPr>
        <w:t xml:space="preserve"> </w:t>
      </w:r>
      <w:proofErr w:type="spellStart"/>
      <w:r>
        <w:rPr>
          <w:rFonts w:ascii="Cambria" w:eastAsia="Cambria" w:hAnsi="Cambria" w:cs="Cambria"/>
        </w:rPr>
        <w:t>semakin</w:t>
      </w:r>
      <w:proofErr w:type="spellEnd"/>
      <w:r>
        <w:rPr>
          <w:rFonts w:ascii="Cambria" w:eastAsia="Cambria" w:hAnsi="Cambria" w:cs="Cambria"/>
        </w:rPr>
        <w:t xml:space="preserve"> </w:t>
      </w:r>
      <w:proofErr w:type="spellStart"/>
      <w:r>
        <w:rPr>
          <w:rFonts w:ascii="Cambria" w:eastAsia="Cambria" w:hAnsi="Cambria" w:cs="Cambria"/>
        </w:rPr>
        <w:t>sedikit</w:t>
      </w:r>
      <w:proofErr w:type="spellEnd"/>
      <w:r>
        <w:rPr>
          <w:rFonts w:ascii="Cambria" w:eastAsia="Cambria" w:hAnsi="Cambria" w:cs="Cambria"/>
        </w:rPr>
        <w:t xml:space="preserve"> </w:t>
      </w:r>
      <w:proofErr w:type="spellStart"/>
      <w:r>
        <w:rPr>
          <w:rFonts w:ascii="Cambria" w:eastAsia="Cambria" w:hAnsi="Cambria" w:cs="Cambria"/>
        </w:rPr>
        <w:t>komposisi</w:t>
      </w:r>
      <w:proofErr w:type="spellEnd"/>
      <w:r>
        <w:rPr>
          <w:rFonts w:ascii="Cambria" w:eastAsia="Cambria" w:hAnsi="Cambria" w:cs="Cambria"/>
        </w:rPr>
        <w:t xml:space="preserve"> </w:t>
      </w:r>
      <w:proofErr w:type="spellStart"/>
      <w:r>
        <w:rPr>
          <w:rFonts w:ascii="Cambria" w:eastAsia="Cambria" w:hAnsi="Cambria" w:cs="Cambria"/>
        </w:rPr>
        <w:t>tepung</w:t>
      </w:r>
      <w:proofErr w:type="spellEnd"/>
      <w:r>
        <w:rPr>
          <w:rFonts w:ascii="Cambria" w:eastAsia="Cambria" w:hAnsi="Cambria" w:cs="Cambria"/>
        </w:rPr>
        <w:t xml:space="preserve"> ubi </w:t>
      </w:r>
      <w:proofErr w:type="spellStart"/>
      <w:r>
        <w:rPr>
          <w:rFonts w:ascii="Cambria" w:eastAsia="Cambria" w:hAnsi="Cambria" w:cs="Cambria"/>
        </w:rPr>
        <w:t>jalar</w:t>
      </w:r>
      <w:proofErr w:type="spellEnd"/>
      <w:r>
        <w:rPr>
          <w:rFonts w:ascii="Cambria" w:eastAsia="Cambria" w:hAnsi="Cambria" w:cs="Cambria"/>
        </w:rPr>
        <w:t xml:space="preserve"> </w:t>
      </w:r>
      <w:proofErr w:type="spellStart"/>
      <w:r>
        <w:rPr>
          <w:rFonts w:ascii="Cambria" w:eastAsia="Cambria" w:hAnsi="Cambria" w:cs="Cambria"/>
        </w:rPr>
        <w:t>maka</w:t>
      </w:r>
      <w:proofErr w:type="spellEnd"/>
      <w:r>
        <w:rPr>
          <w:rFonts w:ascii="Cambria" w:eastAsia="Cambria" w:hAnsi="Cambria" w:cs="Cambria"/>
        </w:rPr>
        <w:t xml:space="preserve"> </w:t>
      </w:r>
      <w:r w:rsidR="007346E4" w:rsidRPr="007346E4">
        <w:rPr>
          <w:rFonts w:ascii="Cambria" w:eastAsia="Cambria" w:hAnsi="Cambria" w:cs="Cambria"/>
          <w:i/>
          <w:iCs/>
        </w:rPr>
        <w:t>aftertaste</w:t>
      </w:r>
      <w:r>
        <w:rPr>
          <w:rFonts w:ascii="Cambria" w:eastAsia="Cambria" w:hAnsi="Cambria" w:cs="Cambria"/>
        </w:rPr>
        <w:t xml:space="preserve"> </w:t>
      </w:r>
      <w:proofErr w:type="spellStart"/>
      <w:r>
        <w:rPr>
          <w:rFonts w:ascii="Cambria" w:eastAsia="Cambria" w:hAnsi="Cambria" w:cs="Cambria"/>
        </w:rPr>
        <w:t>semakin</w:t>
      </w:r>
      <w:proofErr w:type="spellEnd"/>
      <w:r>
        <w:rPr>
          <w:rFonts w:ascii="Cambria" w:eastAsia="Cambria" w:hAnsi="Cambria" w:cs="Cambria"/>
        </w:rPr>
        <w:t xml:space="preserve"> </w:t>
      </w:r>
      <w:proofErr w:type="spellStart"/>
      <w:r>
        <w:rPr>
          <w:rFonts w:ascii="Cambria" w:eastAsia="Cambria" w:hAnsi="Cambria" w:cs="Cambria"/>
        </w:rPr>
        <w:t>lemah</w:t>
      </w:r>
      <w:proofErr w:type="spellEnd"/>
      <w:r>
        <w:rPr>
          <w:rFonts w:ascii="Cambria" w:eastAsia="Cambria" w:hAnsi="Cambria" w:cs="Cambria"/>
        </w:rPr>
        <w:t>.</w:t>
      </w:r>
    </w:p>
    <w:p w14:paraId="79E5DCD6" w14:textId="77777777" w:rsidR="003C7EFB" w:rsidRPr="00F03C4C" w:rsidRDefault="003C7EFB" w:rsidP="00F03C4C">
      <w:pPr>
        <w:pBdr>
          <w:top w:val="nil"/>
          <w:left w:val="nil"/>
          <w:bottom w:val="nil"/>
          <w:right w:val="nil"/>
          <w:between w:val="nil"/>
        </w:pBdr>
        <w:spacing w:after="0" w:line="240" w:lineRule="auto"/>
        <w:jc w:val="both"/>
        <w:rPr>
          <w:rFonts w:ascii="Cambria" w:eastAsia="Cambria" w:hAnsi="Cambria" w:cs="Cambria"/>
        </w:rPr>
      </w:pPr>
    </w:p>
    <w:p w14:paraId="624886FE" w14:textId="644B3C2E" w:rsidR="00F03C4C" w:rsidRPr="00F03C4C" w:rsidRDefault="00F03C4C" w:rsidP="00F03C4C">
      <w:pPr>
        <w:spacing w:after="0" w:line="240" w:lineRule="auto"/>
        <w:rPr>
          <w:rFonts w:ascii="Cambria" w:hAnsi="Cambria" w:cs="Times New Roman"/>
          <w:b/>
          <w:bCs/>
        </w:rPr>
      </w:pPr>
      <w:r w:rsidRPr="00F03C4C">
        <w:rPr>
          <w:rFonts w:ascii="Cambria" w:hAnsi="Cambria" w:cs="Times New Roman"/>
          <w:b/>
          <w:bCs/>
        </w:rPr>
        <w:t xml:space="preserve">Formula </w:t>
      </w:r>
      <w:proofErr w:type="spellStart"/>
      <w:r w:rsidRPr="00F03C4C">
        <w:rPr>
          <w:rFonts w:ascii="Cambria" w:hAnsi="Cambria" w:cs="Times New Roman"/>
          <w:b/>
          <w:bCs/>
        </w:rPr>
        <w:t>Terpilih</w:t>
      </w:r>
      <w:proofErr w:type="spellEnd"/>
      <w:r w:rsidRPr="00F03C4C">
        <w:rPr>
          <w:rFonts w:ascii="Cambria" w:hAnsi="Cambria" w:cs="Times New Roman"/>
          <w:b/>
          <w:bCs/>
        </w:rPr>
        <w:t xml:space="preserve"> </w:t>
      </w:r>
      <w:proofErr w:type="spellStart"/>
      <w:r w:rsidRPr="00F03C4C">
        <w:rPr>
          <w:rFonts w:ascii="Cambria" w:hAnsi="Cambria" w:cs="Times New Roman"/>
          <w:b/>
          <w:bCs/>
        </w:rPr>
        <w:t>Biskuit</w:t>
      </w:r>
      <w:proofErr w:type="spellEnd"/>
    </w:p>
    <w:p w14:paraId="136FA9E0" w14:textId="2A12C154" w:rsidR="00F03C4C" w:rsidRPr="00F03C4C" w:rsidRDefault="00F03C4C" w:rsidP="00F03C4C">
      <w:pPr>
        <w:spacing w:after="0" w:line="240" w:lineRule="auto"/>
        <w:ind w:firstLine="720"/>
        <w:jc w:val="both"/>
        <w:rPr>
          <w:rFonts w:ascii="Cambria" w:hAnsi="Cambria" w:cs="Times New Roman"/>
          <w:color w:val="000000" w:themeColor="text1"/>
        </w:rPr>
      </w:pPr>
      <w:r w:rsidRPr="00F03C4C">
        <w:rPr>
          <w:rFonts w:ascii="Cambria" w:hAnsi="Cambria" w:cs="Times New Roman"/>
        </w:rPr>
        <w:t xml:space="preserve">Formula </w:t>
      </w:r>
      <w:proofErr w:type="spellStart"/>
      <w:r w:rsidRPr="00F03C4C">
        <w:rPr>
          <w:rFonts w:ascii="Cambria" w:hAnsi="Cambria" w:cs="Times New Roman"/>
        </w:rPr>
        <w:t>terpilih</w:t>
      </w:r>
      <w:proofErr w:type="spellEnd"/>
      <w:r w:rsidRPr="00F03C4C">
        <w:rPr>
          <w:rFonts w:ascii="Cambria" w:hAnsi="Cambria" w:cs="Times New Roman"/>
        </w:rPr>
        <w:t xml:space="preserve"> </w:t>
      </w:r>
      <w:proofErr w:type="spellStart"/>
      <w:r w:rsidRPr="00F03C4C">
        <w:rPr>
          <w:rFonts w:ascii="Cambria" w:hAnsi="Cambria" w:cs="Times New Roman"/>
        </w:rPr>
        <w:t>dari</w:t>
      </w:r>
      <w:proofErr w:type="spellEnd"/>
      <w:r w:rsidRPr="00F03C4C">
        <w:rPr>
          <w:rFonts w:ascii="Cambria" w:hAnsi="Cambria" w:cs="Times New Roman"/>
        </w:rPr>
        <w:t xml:space="preserve"> </w:t>
      </w:r>
      <w:proofErr w:type="spellStart"/>
      <w:r w:rsidR="0063512D">
        <w:rPr>
          <w:rFonts w:ascii="Cambria" w:hAnsi="Cambria" w:cs="Times New Roman"/>
        </w:rPr>
        <w:t>biskuit</w:t>
      </w:r>
      <w:proofErr w:type="spellEnd"/>
      <w:r w:rsidRPr="00F03C4C">
        <w:rPr>
          <w:rFonts w:ascii="Cambria" w:hAnsi="Cambria" w:cs="Times New Roman"/>
        </w:rPr>
        <w:t xml:space="preserve"> </w:t>
      </w:r>
      <w:proofErr w:type="spellStart"/>
      <w:r w:rsidRPr="00F03C4C">
        <w:rPr>
          <w:rFonts w:ascii="Cambria" w:hAnsi="Cambria" w:cs="Times New Roman"/>
        </w:rPr>
        <w:t>rempah</w:t>
      </w:r>
      <w:proofErr w:type="spellEnd"/>
      <w:r w:rsidRPr="00F03C4C">
        <w:rPr>
          <w:rFonts w:ascii="Cambria" w:hAnsi="Cambria" w:cs="Times New Roman"/>
        </w:rPr>
        <w:t xml:space="preserve"> anti korona </w:t>
      </w:r>
      <w:proofErr w:type="spellStart"/>
      <w:r w:rsidRPr="00F03C4C">
        <w:rPr>
          <w:rFonts w:ascii="Cambria" w:hAnsi="Cambria" w:cs="Times New Roman"/>
        </w:rPr>
        <w:t>ditentukan</w:t>
      </w:r>
      <w:proofErr w:type="spellEnd"/>
      <w:r w:rsidRPr="00F03C4C">
        <w:rPr>
          <w:rFonts w:ascii="Cambria" w:hAnsi="Cambria" w:cs="Times New Roman"/>
        </w:rPr>
        <w:t xml:space="preserve"> </w:t>
      </w:r>
      <w:proofErr w:type="spellStart"/>
      <w:r w:rsidRPr="00F03C4C">
        <w:rPr>
          <w:rFonts w:ascii="Cambria" w:hAnsi="Cambria" w:cs="Times New Roman"/>
        </w:rPr>
        <w:t>dari</w:t>
      </w:r>
      <w:proofErr w:type="spellEnd"/>
      <w:r w:rsidRPr="00F03C4C">
        <w:rPr>
          <w:rFonts w:ascii="Cambria" w:hAnsi="Cambria" w:cs="Times New Roman"/>
        </w:rPr>
        <w:t xml:space="preserve"> indicator</w:t>
      </w:r>
      <w:r w:rsidR="001C36E3">
        <w:rPr>
          <w:rFonts w:ascii="Cambria" w:hAnsi="Cambria" w:cs="Times New Roman"/>
        </w:rPr>
        <w:t xml:space="preserve"> </w:t>
      </w:r>
      <w:proofErr w:type="spellStart"/>
      <w:r w:rsidRPr="00F03C4C">
        <w:rPr>
          <w:rFonts w:ascii="Cambria" w:hAnsi="Cambria" w:cs="Times New Roman"/>
        </w:rPr>
        <w:t>warna</w:t>
      </w:r>
      <w:proofErr w:type="spellEnd"/>
      <w:r w:rsidRPr="00F03C4C">
        <w:rPr>
          <w:rFonts w:ascii="Cambria" w:hAnsi="Cambria" w:cs="Times New Roman"/>
        </w:rPr>
        <w:t xml:space="preserve">, aroma, rasa, </w:t>
      </w:r>
      <w:proofErr w:type="spellStart"/>
      <w:r w:rsidRPr="00F03C4C">
        <w:rPr>
          <w:rFonts w:ascii="Cambria" w:hAnsi="Cambria" w:cs="Times New Roman"/>
        </w:rPr>
        <w:t>tekstur</w:t>
      </w:r>
      <w:proofErr w:type="spellEnd"/>
      <w:r w:rsidRPr="00F03C4C">
        <w:rPr>
          <w:rFonts w:ascii="Cambria" w:hAnsi="Cambria" w:cs="Times New Roman"/>
        </w:rPr>
        <w:t xml:space="preserve"> dan </w:t>
      </w:r>
      <w:r w:rsidR="007346E4" w:rsidRPr="007346E4">
        <w:rPr>
          <w:rFonts w:ascii="Cambria" w:hAnsi="Cambria" w:cs="Times New Roman"/>
          <w:i/>
          <w:iCs/>
          <w:color w:val="000000" w:themeColor="text1"/>
        </w:rPr>
        <w:t>aftertaste</w:t>
      </w:r>
      <w:r w:rsidRPr="00F03C4C">
        <w:rPr>
          <w:rFonts w:ascii="Cambria" w:hAnsi="Cambria" w:cs="Times New Roman"/>
          <w:color w:val="FF0000"/>
        </w:rPr>
        <w:t xml:space="preserve">. </w:t>
      </w:r>
      <w:r w:rsidRPr="00F03C4C">
        <w:rPr>
          <w:rFonts w:ascii="Cambria" w:hAnsi="Cambria" w:cs="Times New Roman"/>
        </w:rPr>
        <w:t xml:space="preserve">Tabel 4 </w:t>
      </w:r>
      <w:proofErr w:type="spellStart"/>
      <w:r w:rsidRPr="00F03C4C">
        <w:rPr>
          <w:rFonts w:ascii="Cambria" w:hAnsi="Cambria" w:cs="Times New Roman"/>
        </w:rPr>
        <w:t>menunjukkan</w:t>
      </w:r>
      <w:proofErr w:type="spellEnd"/>
      <w:r w:rsidRPr="00F03C4C">
        <w:rPr>
          <w:rFonts w:ascii="Cambria" w:hAnsi="Cambria" w:cs="Times New Roman"/>
        </w:rPr>
        <w:t xml:space="preserve"> </w:t>
      </w:r>
      <w:proofErr w:type="spellStart"/>
      <w:r w:rsidRPr="00F03C4C">
        <w:rPr>
          <w:rFonts w:ascii="Cambria" w:hAnsi="Cambria" w:cs="Times New Roman"/>
        </w:rPr>
        <w:t>persentase</w:t>
      </w:r>
      <w:proofErr w:type="spellEnd"/>
      <w:r w:rsidRPr="00F03C4C">
        <w:rPr>
          <w:rFonts w:ascii="Cambria" w:hAnsi="Cambria" w:cs="Times New Roman"/>
        </w:rPr>
        <w:t xml:space="preserve"> </w:t>
      </w:r>
      <w:proofErr w:type="spellStart"/>
      <w:r w:rsidRPr="00F03C4C">
        <w:rPr>
          <w:rFonts w:ascii="Cambria" w:hAnsi="Cambria" w:cs="Times New Roman"/>
        </w:rPr>
        <w:t>tingkat</w:t>
      </w:r>
      <w:proofErr w:type="spellEnd"/>
      <w:r w:rsidRPr="00F03C4C">
        <w:rPr>
          <w:rFonts w:ascii="Cambria" w:hAnsi="Cambria" w:cs="Times New Roman"/>
        </w:rPr>
        <w:t xml:space="preserve"> </w:t>
      </w:r>
      <w:proofErr w:type="spellStart"/>
      <w:r w:rsidRPr="00F03C4C">
        <w:rPr>
          <w:rFonts w:ascii="Cambria" w:hAnsi="Cambria" w:cs="Times New Roman"/>
        </w:rPr>
        <w:t>kesukaan</w:t>
      </w:r>
      <w:proofErr w:type="spellEnd"/>
      <w:r w:rsidRPr="00F03C4C">
        <w:rPr>
          <w:rFonts w:ascii="Cambria" w:hAnsi="Cambria" w:cs="Times New Roman"/>
        </w:rPr>
        <w:t xml:space="preserve"> </w:t>
      </w:r>
      <w:proofErr w:type="spellStart"/>
      <w:r w:rsidR="0063512D">
        <w:rPr>
          <w:rFonts w:ascii="Cambria" w:hAnsi="Cambria" w:cs="Times New Roman"/>
        </w:rPr>
        <w:t>biskuit</w:t>
      </w:r>
      <w:proofErr w:type="spellEnd"/>
      <w:r w:rsidRPr="00F03C4C">
        <w:rPr>
          <w:rFonts w:ascii="Cambria" w:hAnsi="Cambria" w:cs="Times New Roman"/>
        </w:rPr>
        <w:t xml:space="preserve"> </w:t>
      </w:r>
      <w:proofErr w:type="spellStart"/>
      <w:r w:rsidRPr="00F03C4C">
        <w:rPr>
          <w:rFonts w:ascii="Cambria" w:hAnsi="Cambria" w:cs="Times New Roman"/>
        </w:rPr>
        <w:t>rempah</w:t>
      </w:r>
      <w:proofErr w:type="spellEnd"/>
      <w:r w:rsidRPr="00F03C4C">
        <w:rPr>
          <w:rFonts w:ascii="Cambria" w:hAnsi="Cambria" w:cs="Times New Roman"/>
        </w:rPr>
        <w:t xml:space="preserve"> anti korona. Jika </w:t>
      </w:r>
      <w:proofErr w:type="spellStart"/>
      <w:r w:rsidRPr="00F03C4C">
        <w:rPr>
          <w:rFonts w:ascii="Cambria" w:hAnsi="Cambria" w:cs="Times New Roman"/>
        </w:rPr>
        <w:t>dinilai</w:t>
      </w:r>
      <w:proofErr w:type="spellEnd"/>
      <w:r w:rsidRPr="00F03C4C">
        <w:rPr>
          <w:rFonts w:ascii="Cambria" w:hAnsi="Cambria" w:cs="Times New Roman"/>
        </w:rPr>
        <w:t xml:space="preserve"> </w:t>
      </w:r>
      <w:proofErr w:type="spellStart"/>
      <w:r w:rsidRPr="00F03C4C">
        <w:rPr>
          <w:rFonts w:ascii="Cambria" w:hAnsi="Cambria" w:cs="Times New Roman"/>
        </w:rPr>
        <w:t>dari</w:t>
      </w:r>
      <w:proofErr w:type="spellEnd"/>
      <w:r w:rsidRPr="00F03C4C">
        <w:rPr>
          <w:rFonts w:ascii="Cambria" w:hAnsi="Cambria" w:cs="Times New Roman"/>
        </w:rPr>
        <w:t xml:space="preserve"> </w:t>
      </w:r>
      <w:proofErr w:type="spellStart"/>
      <w:r w:rsidRPr="00F03C4C">
        <w:rPr>
          <w:rFonts w:ascii="Cambria" w:hAnsi="Cambria" w:cs="Times New Roman"/>
        </w:rPr>
        <w:t>indikator</w:t>
      </w:r>
      <w:proofErr w:type="spellEnd"/>
      <w:r w:rsidRPr="00F03C4C">
        <w:rPr>
          <w:rFonts w:ascii="Cambria" w:hAnsi="Cambria" w:cs="Times New Roman"/>
        </w:rPr>
        <w:t xml:space="preserve"> rasa, </w:t>
      </w:r>
      <w:r w:rsidR="00730FE4">
        <w:rPr>
          <w:rFonts w:ascii="Cambria" w:hAnsi="Cambria" w:cs="Times New Roman"/>
        </w:rPr>
        <w:t xml:space="preserve">formula </w:t>
      </w:r>
      <w:proofErr w:type="spellStart"/>
      <w:r w:rsidRPr="00F03C4C">
        <w:rPr>
          <w:rFonts w:ascii="Cambria" w:hAnsi="Cambria" w:cs="Times New Roman"/>
        </w:rPr>
        <w:t>Kontrol</w:t>
      </w:r>
      <w:proofErr w:type="spellEnd"/>
      <w:r w:rsidRPr="00F03C4C">
        <w:rPr>
          <w:rFonts w:ascii="Cambria" w:hAnsi="Cambria" w:cs="Times New Roman"/>
        </w:rPr>
        <w:t xml:space="preserve"> paling </w:t>
      </w:r>
      <w:proofErr w:type="spellStart"/>
      <w:r w:rsidRPr="00F03C4C">
        <w:rPr>
          <w:rFonts w:ascii="Cambria" w:hAnsi="Cambria" w:cs="Times New Roman"/>
        </w:rPr>
        <w:t>disukai</w:t>
      </w:r>
      <w:proofErr w:type="spellEnd"/>
      <w:r w:rsidRPr="00F03C4C">
        <w:rPr>
          <w:rFonts w:ascii="Cambria" w:hAnsi="Cambria" w:cs="Times New Roman"/>
        </w:rPr>
        <w:t xml:space="preserve"> </w:t>
      </w:r>
      <w:proofErr w:type="spellStart"/>
      <w:r w:rsidRPr="00F03C4C">
        <w:rPr>
          <w:rFonts w:ascii="Cambria" w:hAnsi="Cambria" w:cs="Times New Roman"/>
        </w:rPr>
        <w:t>dalam</w:t>
      </w:r>
      <w:proofErr w:type="spellEnd"/>
      <w:r w:rsidRPr="00F03C4C">
        <w:rPr>
          <w:rFonts w:ascii="Cambria" w:hAnsi="Cambria" w:cs="Times New Roman"/>
        </w:rPr>
        <w:t xml:space="preserve"> </w:t>
      </w:r>
      <w:proofErr w:type="spellStart"/>
      <w:r w:rsidRPr="00F03C4C">
        <w:rPr>
          <w:rFonts w:ascii="Cambria" w:hAnsi="Cambria" w:cs="Times New Roman"/>
        </w:rPr>
        <w:t>hal</w:t>
      </w:r>
      <w:proofErr w:type="spellEnd"/>
      <w:r w:rsidRPr="00F03C4C">
        <w:rPr>
          <w:rFonts w:ascii="Cambria" w:hAnsi="Cambria" w:cs="Times New Roman"/>
        </w:rPr>
        <w:t xml:space="preserve"> rasa </w:t>
      </w:r>
      <w:proofErr w:type="spellStart"/>
      <w:r w:rsidRPr="00F03C4C">
        <w:rPr>
          <w:rFonts w:ascii="Cambria" w:hAnsi="Cambria" w:cs="Times New Roman"/>
        </w:rPr>
        <w:t>dibanding</w:t>
      </w:r>
      <w:proofErr w:type="spellEnd"/>
      <w:r w:rsidRPr="00F03C4C">
        <w:rPr>
          <w:rFonts w:ascii="Cambria" w:hAnsi="Cambria" w:cs="Times New Roman"/>
        </w:rPr>
        <w:t xml:space="preserve"> formula lain. Lalu, </w:t>
      </w:r>
      <w:proofErr w:type="spellStart"/>
      <w:r w:rsidRPr="00F03C4C">
        <w:rPr>
          <w:rFonts w:ascii="Cambria" w:hAnsi="Cambria" w:cs="Times New Roman"/>
        </w:rPr>
        <w:t>jika</w:t>
      </w:r>
      <w:proofErr w:type="spellEnd"/>
      <w:r w:rsidRPr="00F03C4C">
        <w:rPr>
          <w:rFonts w:ascii="Cambria" w:hAnsi="Cambria" w:cs="Times New Roman"/>
        </w:rPr>
        <w:t xml:space="preserve"> </w:t>
      </w:r>
      <w:proofErr w:type="spellStart"/>
      <w:r w:rsidRPr="00F03C4C">
        <w:rPr>
          <w:rFonts w:ascii="Cambria" w:hAnsi="Cambria" w:cs="Times New Roman"/>
        </w:rPr>
        <w:t>dinilai</w:t>
      </w:r>
      <w:proofErr w:type="spellEnd"/>
      <w:r w:rsidRPr="00F03C4C">
        <w:rPr>
          <w:rFonts w:ascii="Cambria" w:hAnsi="Cambria" w:cs="Times New Roman"/>
        </w:rPr>
        <w:t xml:space="preserve"> </w:t>
      </w:r>
      <w:proofErr w:type="spellStart"/>
      <w:r w:rsidRPr="00F03C4C">
        <w:rPr>
          <w:rFonts w:ascii="Cambria" w:hAnsi="Cambria" w:cs="Times New Roman"/>
        </w:rPr>
        <w:t>dari</w:t>
      </w:r>
      <w:proofErr w:type="spellEnd"/>
      <w:r w:rsidRPr="00F03C4C">
        <w:rPr>
          <w:rFonts w:ascii="Cambria" w:hAnsi="Cambria" w:cs="Times New Roman"/>
        </w:rPr>
        <w:t xml:space="preserve"> </w:t>
      </w:r>
      <w:proofErr w:type="spellStart"/>
      <w:r w:rsidRPr="00F03C4C">
        <w:rPr>
          <w:rFonts w:ascii="Cambria" w:hAnsi="Cambria" w:cs="Times New Roman"/>
        </w:rPr>
        <w:t>indikator</w:t>
      </w:r>
      <w:proofErr w:type="spellEnd"/>
      <w:r w:rsidRPr="00F03C4C">
        <w:rPr>
          <w:rFonts w:ascii="Cambria" w:hAnsi="Cambria" w:cs="Times New Roman"/>
        </w:rPr>
        <w:t xml:space="preserve"> </w:t>
      </w:r>
      <w:proofErr w:type="spellStart"/>
      <w:r w:rsidRPr="00F03C4C">
        <w:rPr>
          <w:rFonts w:ascii="Cambria" w:hAnsi="Cambria" w:cs="Times New Roman"/>
        </w:rPr>
        <w:t>tekstur</w:t>
      </w:r>
      <w:proofErr w:type="spellEnd"/>
      <w:r w:rsidRPr="00F03C4C">
        <w:rPr>
          <w:rFonts w:ascii="Cambria" w:hAnsi="Cambria" w:cs="Times New Roman"/>
        </w:rPr>
        <w:t xml:space="preserve"> dan aroma, F1 paling </w:t>
      </w:r>
      <w:proofErr w:type="spellStart"/>
      <w:r w:rsidRPr="00F03C4C">
        <w:rPr>
          <w:rFonts w:ascii="Cambria" w:hAnsi="Cambria" w:cs="Times New Roman"/>
        </w:rPr>
        <w:t>disukai</w:t>
      </w:r>
      <w:proofErr w:type="spellEnd"/>
      <w:r w:rsidRPr="00F03C4C">
        <w:rPr>
          <w:rFonts w:ascii="Cambria" w:hAnsi="Cambria" w:cs="Times New Roman"/>
        </w:rPr>
        <w:t xml:space="preserve"> </w:t>
      </w:r>
      <w:proofErr w:type="spellStart"/>
      <w:r w:rsidRPr="00F03C4C">
        <w:rPr>
          <w:rFonts w:ascii="Cambria" w:hAnsi="Cambria" w:cs="Times New Roman"/>
        </w:rPr>
        <w:t>dalam</w:t>
      </w:r>
      <w:proofErr w:type="spellEnd"/>
      <w:r w:rsidRPr="00F03C4C">
        <w:rPr>
          <w:rFonts w:ascii="Cambria" w:hAnsi="Cambria" w:cs="Times New Roman"/>
        </w:rPr>
        <w:t xml:space="preserve"> </w:t>
      </w:r>
      <w:proofErr w:type="spellStart"/>
      <w:r w:rsidRPr="00F03C4C">
        <w:rPr>
          <w:rFonts w:ascii="Cambria" w:hAnsi="Cambria" w:cs="Times New Roman"/>
        </w:rPr>
        <w:t>hal</w:t>
      </w:r>
      <w:proofErr w:type="spellEnd"/>
      <w:r w:rsidRPr="00F03C4C">
        <w:rPr>
          <w:rFonts w:ascii="Cambria" w:hAnsi="Cambria" w:cs="Times New Roman"/>
        </w:rPr>
        <w:t xml:space="preserve"> </w:t>
      </w:r>
      <w:proofErr w:type="spellStart"/>
      <w:r w:rsidRPr="00F03C4C">
        <w:rPr>
          <w:rFonts w:ascii="Cambria" w:hAnsi="Cambria" w:cs="Times New Roman"/>
        </w:rPr>
        <w:t>tekstur</w:t>
      </w:r>
      <w:proofErr w:type="spellEnd"/>
      <w:r w:rsidRPr="00F03C4C">
        <w:rPr>
          <w:rFonts w:ascii="Cambria" w:hAnsi="Cambria" w:cs="Times New Roman"/>
        </w:rPr>
        <w:t xml:space="preserve"> </w:t>
      </w:r>
      <w:proofErr w:type="spellStart"/>
      <w:r w:rsidRPr="00F03C4C">
        <w:rPr>
          <w:rFonts w:ascii="Cambria" w:hAnsi="Cambria" w:cs="Times New Roman"/>
        </w:rPr>
        <w:t>dibanding</w:t>
      </w:r>
      <w:proofErr w:type="spellEnd"/>
      <w:r w:rsidRPr="00F03C4C">
        <w:rPr>
          <w:rFonts w:ascii="Cambria" w:hAnsi="Cambria" w:cs="Times New Roman"/>
        </w:rPr>
        <w:t xml:space="preserve"> formula lain. </w:t>
      </w:r>
      <w:proofErr w:type="spellStart"/>
      <w:r w:rsidRPr="00F03C4C">
        <w:rPr>
          <w:rFonts w:ascii="Cambria" w:hAnsi="Cambria" w:cs="Times New Roman"/>
        </w:rPr>
        <w:t>Sementara</w:t>
      </w:r>
      <w:proofErr w:type="spellEnd"/>
      <w:r w:rsidRPr="00F03C4C">
        <w:rPr>
          <w:rFonts w:ascii="Cambria" w:hAnsi="Cambria" w:cs="Times New Roman"/>
        </w:rPr>
        <w:t xml:space="preserve"> </w:t>
      </w:r>
      <w:proofErr w:type="spellStart"/>
      <w:r w:rsidRPr="00F03C4C">
        <w:rPr>
          <w:rFonts w:ascii="Cambria" w:hAnsi="Cambria" w:cs="Times New Roman"/>
        </w:rPr>
        <w:t>itu</w:t>
      </w:r>
      <w:proofErr w:type="spellEnd"/>
      <w:r w:rsidRPr="00F03C4C">
        <w:rPr>
          <w:rFonts w:ascii="Cambria" w:hAnsi="Cambria" w:cs="Times New Roman"/>
        </w:rPr>
        <w:t xml:space="preserve">, </w:t>
      </w:r>
      <w:proofErr w:type="spellStart"/>
      <w:r w:rsidRPr="00F03C4C">
        <w:rPr>
          <w:rFonts w:ascii="Cambria" w:hAnsi="Cambria" w:cs="Times New Roman"/>
        </w:rPr>
        <w:t>jika</w:t>
      </w:r>
      <w:proofErr w:type="spellEnd"/>
      <w:r w:rsidRPr="00F03C4C">
        <w:rPr>
          <w:rFonts w:ascii="Cambria" w:hAnsi="Cambria" w:cs="Times New Roman"/>
        </w:rPr>
        <w:t xml:space="preserve"> </w:t>
      </w:r>
      <w:proofErr w:type="spellStart"/>
      <w:r w:rsidRPr="00F03C4C">
        <w:rPr>
          <w:rFonts w:ascii="Cambria" w:hAnsi="Cambria" w:cs="Times New Roman"/>
        </w:rPr>
        <w:t>dinilai</w:t>
      </w:r>
      <w:proofErr w:type="spellEnd"/>
      <w:r w:rsidRPr="00F03C4C">
        <w:rPr>
          <w:rFonts w:ascii="Cambria" w:hAnsi="Cambria" w:cs="Times New Roman"/>
        </w:rPr>
        <w:t xml:space="preserve"> </w:t>
      </w:r>
      <w:proofErr w:type="spellStart"/>
      <w:r w:rsidRPr="00F03C4C">
        <w:rPr>
          <w:rFonts w:ascii="Cambria" w:hAnsi="Cambria" w:cs="Times New Roman"/>
        </w:rPr>
        <w:t>dari</w:t>
      </w:r>
      <w:proofErr w:type="spellEnd"/>
      <w:r w:rsidRPr="00F03C4C">
        <w:rPr>
          <w:rFonts w:ascii="Cambria" w:hAnsi="Cambria" w:cs="Times New Roman"/>
        </w:rPr>
        <w:t xml:space="preserve"> </w:t>
      </w:r>
      <w:proofErr w:type="spellStart"/>
      <w:r w:rsidRPr="00F03C4C">
        <w:rPr>
          <w:rFonts w:ascii="Cambria" w:hAnsi="Cambria" w:cs="Times New Roman"/>
        </w:rPr>
        <w:t>indikator</w:t>
      </w:r>
      <w:proofErr w:type="spellEnd"/>
      <w:r w:rsidRPr="00F03C4C">
        <w:rPr>
          <w:rFonts w:ascii="Cambria" w:hAnsi="Cambria" w:cs="Times New Roman"/>
        </w:rPr>
        <w:t xml:space="preserve"> </w:t>
      </w:r>
      <w:proofErr w:type="spellStart"/>
      <w:r w:rsidRPr="00F03C4C">
        <w:rPr>
          <w:rFonts w:ascii="Cambria" w:hAnsi="Cambria" w:cs="Times New Roman"/>
        </w:rPr>
        <w:t>warna</w:t>
      </w:r>
      <w:proofErr w:type="spellEnd"/>
      <w:r w:rsidRPr="00F03C4C">
        <w:rPr>
          <w:rFonts w:ascii="Cambria" w:hAnsi="Cambria" w:cs="Times New Roman"/>
        </w:rPr>
        <w:t xml:space="preserve"> dan aroma, F2 </w:t>
      </w:r>
      <w:proofErr w:type="spellStart"/>
      <w:r w:rsidRPr="00F03C4C">
        <w:rPr>
          <w:rFonts w:ascii="Cambria" w:hAnsi="Cambria" w:cs="Times New Roman"/>
        </w:rPr>
        <w:t>menjadi</w:t>
      </w:r>
      <w:proofErr w:type="spellEnd"/>
      <w:r w:rsidRPr="00F03C4C">
        <w:rPr>
          <w:rFonts w:ascii="Cambria" w:hAnsi="Cambria" w:cs="Times New Roman"/>
        </w:rPr>
        <w:t xml:space="preserve"> formula yang paling </w:t>
      </w:r>
      <w:proofErr w:type="spellStart"/>
      <w:r w:rsidRPr="00F03C4C">
        <w:rPr>
          <w:rFonts w:ascii="Cambria" w:hAnsi="Cambria" w:cs="Times New Roman"/>
        </w:rPr>
        <w:t>disukai</w:t>
      </w:r>
      <w:proofErr w:type="spellEnd"/>
      <w:r w:rsidRPr="00F03C4C">
        <w:rPr>
          <w:rFonts w:ascii="Cambria" w:hAnsi="Cambria" w:cs="Times New Roman"/>
        </w:rPr>
        <w:t xml:space="preserve"> </w:t>
      </w:r>
      <w:proofErr w:type="spellStart"/>
      <w:r w:rsidRPr="00F03C4C">
        <w:rPr>
          <w:rFonts w:ascii="Cambria" w:hAnsi="Cambria" w:cs="Times New Roman"/>
        </w:rPr>
        <w:t>panelis</w:t>
      </w:r>
      <w:proofErr w:type="spellEnd"/>
      <w:r w:rsidRPr="00F03C4C">
        <w:rPr>
          <w:rFonts w:ascii="Cambria" w:hAnsi="Cambria" w:cs="Times New Roman"/>
        </w:rPr>
        <w:t xml:space="preserve"> disbanding formula yang lain. </w:t>
      </w:r>
      <w:proofErr w:type="spellStart"/>
      <w:r w:rsidRPr="00F03C4C">
        <w:rPr>
          <w:rFonts w:ascii="Cambria" w:hAnsi="Cambria" w:cs="Times New Roman"/>
        </w:rPr>
        <w:t>Indikator</w:t>
      </w:r>
      <w:proofErr w:type="spellEnd"/>
      <w:r w:rsidRPr="00F03C4C">
        <w:rPr>
          <w:rFonts w:ascii="Cambria" w:hAnsi="Cambria" w:cs="Times New Roman"/>
        </w:rPr>
        <w:t xml:space="preserve"> </w:t>
      </w:r>
      <w:proofErr w:type="spellStart"/>
      <w:r w:rsidRPr="00F03C4C">
        <w:rPr>
          <w:rFonts w:ascii="Cambria" w:hAnsi="Cambria" w:cs="Times New Roman"/>
        </w:rPr>
        <w:t>terakhir</w:t>
      </w:r>
      <w:proofErr w:type="spellEnd"/>
      <w:r w:rsidRPr="00F03C4C">
        <w:rPr>
          <w:rFonts w:ascii="Cambria" w:hAnsi="Cambria" w:cs="Times New Roman"/>
        </w:rPr>
        <w:t xml:space="preserve"> </w:t>
      </w:r>
      <w:proofErr w:type="spellStart"/>
      <w:r w:rsidRPr="00F03C4C">
        <w:rPr>
          <w:rFonts w:ascii="Cambria" w:hAnsi="Cambria" w:cs="Times New Roman"/>
        </w:rPr>
        <w:t>yaitu</w:t>
      </w:r>
      <w:proofErr w:type="spellEnd"/>
      <w:r w:rsidRPr="00F03C4C">
        <w:rPr>
          <w:rFonts w:ascii="Cambria" w:hAnsi="Cambria" w:cs="Times New Roman"/>
        </w:rPr>
        <w:t xml:space="preserve"> </w:t>
      </w:r>
      <w:r w:rsidR="007346E4" w:rsidRPr="007346E4">
        <w:rPr>
          <w:rFonts w:ascii="Cambria" w:hAnsi="Cambria" w:cs="Times New Roman"/>
          <w:i/>
          <w:iCs/>
          <w:color w:val="000000" w:themeColor="text1"/>
        </w:rPr>
        <w:t>aftertaste</w:t>
      </w:r>
      <w:r w:rsidRPr="00F03C4C">
        <w:rPr>
          <w:rFonts w:ascii="Cambria" w:hAnsi="Cambria" w:cs="Times New Roman"/>
        </w:rPr>
        <w:t xml:space="preserve"> </w:t>
      </w:r>
      <w:proofErr w:type="spellStart"/>
      <w:r w:rsidRPr="00F03C4C">
        <w:rPr>
          <w:rFonts w:ascii="Cambria" w:hAnsi="Cambria" w:cs="Times New Roman"/>
        </w:rPr>
        <w:t>menunjukkan</w:t>
      </w:r>
      <w:proofErr w:type="spellEnd"/>
      <w:r w:rsidRPr="00F03C4C">
        <w:rPr>
          <w:rFonts w:ascii="Cambria" w:hAnsi="Cambria" w:cs="Times New Roman"/>
        </w:rPr>
        <w:t xml:space="preserve"> </w:t>
      </w:r>
      <w:proofErr w:type="spellStart"/>
      <w:r w:rsidRPr="00F03C4C">
        <w:rPr>
          <w:rFonts w:ascii="Cambria" w:hAnsi="Cambria" w:cs="Times New Roman"/>
        </w:rPr>
        <w:t>bahwa</w:t>
      </w:r>
      <w:proofErr w:type="spellEnd"/>
      <w:r w:rsidRPr="00F03C4C">
        <w:rPr>
          <w:rFonts w:ascii="Cambria" w:hAnsi="Cambria" w:cs="Times New Roman"/>
        </w:rPr>
        <w:t xml:space="preserve"> F1 dan F2 </w:t>
      </w:r>
      <w:proofErr w:type="spellStart"/>
      <w:r w:rsidRPr="00F03C4C">
        <w:rPr>
          <w:rFonts w:ascii="Cambria" w:hAnsi="Cambria" w:cs="Times New Roman"/>
        </w:rPr>
        <w:t>memiliki</w:t>
      </w:r>
      <w:proofErr w:type="spellEnd"/>
      <w:r w:rsidRPr="00F03C4C">
        <w:rPr>
          <w:rFonts w:ascii="Cambria" w:hAnsi="Cambria" w:cs="Times New Roman"/>
        </w:rPr>
        <w:t xml:space="preserve"> </w:t>
      </w:r>
      <w:proofErr w:type="spellStart"/>
      <w:r w:rsidR="009C7997">
        <w:rPr>
          <w:rFonts w:ascii="Cambria" w:hAnsi="Cambria" w:cs="Times New Roman"/>
        </w:rPr>
        <w:t>daya</w:t>
      </w:r>
      <w:proofErr w:type="spellEnd"/>
      <w:r w:rsidR="009C7997">
        <w:rPr>
          <w:rFonts w:ascii="Cambria" w:hAnsi="Cambria" w:cs="Times New Roman"/>
        </w:rPr>
        <w:t xml:space="preserve"> </w:t>
      </w:r>
      <w:proofErr w:type="spellStart"/>
      <w:r w:rsidR="009C7997">
        <w:rPr>
          <w:rFonts w:ascii="Cambria" w:hAnsi="Cambria" w:cs="Times New Roman"/>
        </w:rPr>
        <w:t>terima</w:t>
      </w:r>
      <w:proofErr w:type="spellEnd"/>
      <w:r w:rsidRPr="00F03C4C">
        <w:rPr>
          <w:rFonts w:ascii="Cambria" w:hAnsi="Cambria" w:cs="Times New Roman"/>
        </w:rPr>
        <w:t xml:space="preserve"> </w:t>
      </w:r>
      <w:r w:rsidR="007346E4" w:rsidRPr="007346E4">
        <w:rPr>
          <w:rFonts w:ascii="Cambria" w:hAnsi="Cambria" w:cs="Times New Roman"/>
          <w:i/>
          <w:iCs/>
          <w:color w:val="000000" w:themeColor="text1"/>
        </w:rPr>
        <w:t>aftertaste</w:t>
      </w:r>
      <w:r w:rsidRPr="00F03C4C">
        <w:rPr>
          <w:rFonts w:ascii="Cambria" w:hAnsi="Cambria" w:cs="Times New Roman"/>
        </w:rPr>
        <w:t xml:space="preserve"> yang paling </w:t>
      </w:r>
      <w:proofErr w:type="spellStart"/>
      <w:r w:rsidRPr="00F03C4C">
        <w:rPr>
          <w:rFonts w:ascii="Cambria" w:hAnsi="Cambria" w:cs="Times New Roman"/>
        </w:rPr>
        <w:t>disukai</w:t>
      </w:r>
      <w:proofErr w:type="spellEnd"/>
      <w:r w:rsidRPr="00F03C4C">
        <w:rPr>
          <w:rFonts w:ascii="Cambria" w:hAnsi="Cambria" w:cs="Times New Roman"/>
        </w:rPr>
        <w:t xml:space="preserve"> </w:t>
      </w:r>
      <w:proofErr w:type="spellStart"/>
      <w:r w:rsidRPr="00F03C4C">
        <w:rPr>
          <w:rFonts w:ascii="Cambria" w:hAnsi="Cambria" w:cs="Times New Roman"/>
        </w:rPr>
        <w:t>dibandingkan</w:t>
      </w:r>
      <w:proofErr w:type="spellEnd"/>
      <w:r w:rsidRPr="00F03C4C">
        <w:rPr>
          <w:rFonts w:ascii="Cambria" w:hAnsi="Cambria" w:cs="Times New Roman"/>
        </w:rPr>
        <w:t xml:space="preserve"> </w:t>
      </w:r>
      <w:proofErr w:type="spellStart"/>
      <w:r w:rsidRPr="00F03C4C">
        <w:rPr>
          <w:rFonts w:ascii="Cambria" w:hAnsi="Cambria" w:cs="Times New Roman"/>
        </w:rPr>
        <w:t>dengan</w:t>
      </w:r>
      <w:proofErr w:type="spellEnd"/>
      <w:r w:rsidRPr="00F03C4C">
        <w:rPr>
          <w:rFonts w:ascii="Cambria" w:hAnsi="Cambria" w:cs="Times New Roman"/>
        </w:rPr>
        <w:t xml:space="preserve"> formula lain. </w:t>
      </w:r>
      <w:proofErr w:type="spellStart"/>
      <w:r w:rsidRPr="00F03C4C">
        <w:rPr>
          <w:rFonts w:ascii="Cambria" w:hAnsi="Cambria" w:cs="Times New Roman"/>
        </w:rPr>
        <w:t>Persentase</w:t>
      </w:r>
      <w:proofErr w:type="spellEnd"/>
      <w:r w:rsidRPr="00F03C4C">
        <w:rPr>
          <w:rFonts w:ascii="Cambria" w:hAnsi="Cambria" w:cs="Times New Roman"/>
        </w:rPr>
        <w:t xml:space="preserve"> </w:t>
      </w:r>
      <w:proofErr w:type="spellStart"/>
      <w:r w:rsidR="009C7997">
        <w:rPr>
          <w:rFonts w:ascii="Cambria" w:hAnsi="Cambria" w:cs="Times New Roman"/>
        </w:rPr>
        <w:t>daya</w:t>
      </w:r>
      <w:proofErr w:type="spellEnd"/>
      <w:r w:rsidR="009C7997">
        <w:rPr>
          <w:rFonts w:ascii="Cambria" w:hAnsi="Cambria" w:cs="Times New Roman"/>
        </w:rPr>
        <w:t xml:space="preserve"> </w:t>
      </w:r>
      <w:proofErr w:type="spellStart"/>
      <w:r w:rsidR="009C7997">
        <w:rPr>
          <w:rFonts w:ascii="Cambria" w:hAnsi="Cambria" w:cs="Times New Roman"/>
        </w:rPr>
        <w:t>terima</w:t>
      </w:r>
      <w:proofErr w:type="spellEnd"/>
      <w:r w:rsidRPr="00F03C4C">
        <w:rPr>
          <w:rFonts w:ascii="Cambria" w:hAnsi="Cambria" w:cs="Times New Roman"/>
        </w:rPr>
        <w:t xml:space="preserve"> </w:t>
      </w:r>
      <w:proofErr w:type="spellStart"/>
      <w:r w:rsidRPr="00F03C4C">
        <w:rPr>
          <w:rFonts w:ascii="Cambria" w:hAnsi="Cambria" w:cs="Times New Roman"/>
        </w:rPr>
        <w:t>biskuit</w:t>
      </w:r>
      <w:proofErr w:type="spellEnd"/>
      <w:r w:rsidRPr="00F03C4C">
        <w:rPr>
          <w:rFonts w:ascii="Cambria" w:hAnsi="Cambria" w:cs="Times New Roman"/>
        </w:rPr>
        <w:t xml:space="preserve"> </w:t>
      </w:r>
      <w:proofErr w:type="spellStart"/>
      <w:r w:rsidRPr="00F03C4C">
        <w:rPr>
          <w:rFonts w:ascii="Cambria" w:hAnsi="Cambria" w:cs="Times New Roman"/>
        </w:rPr>
        <w:t>rempah</w:t>
      </w:r>
      <w:proofErr w:type="spellEnd"/>
      <w:r w:rsidRPr="00F03C4C">
        <w:rPr>
          <w:rFonts w:ascii="Cambria" w:hAnsi="Cambria" w:cs="Times New Roman"/>
        </w:rPr>
        <w:t xml:space="preserve"> </w:t>
      </w:r>
      <w:proofErr w:type="spellStart"/>
      <w:r w:rsidRPr="00F03C4C">
        <w:rPr>
          <w:rFonts w:ascii="Cambria" w:hAnsi="Cambria" w:cs="Times New Roman"/>
        </w:rPr>
        <w:t>secara</w:t>
      </w:r>
      <w:proofErr w:type="spellEnd"/>
      <w:r w:rsidRPr="00F03C4C">
        <w:rPr>
          <w:rFonts w:ascii="Cambria" w:hAnsi="Cambria" w:cs="Times New Roman"/>
        </w:rPr>
        <w:t xml:space="preserve"> </w:t>
      </w:r>
      <w:proofErr w:type="spellStart"/>
      <w:r w:rsidRPr="00F03C4C">
        <w:rPr>
          <w:rFonts w:ascii="Cambria" w:hAnsi="Cambria" w:cs="Times New Roman"/>
        </w:rPr>
        <w:t>keseluruhan</w:t>
      </w:r>
      <w:proofErr w:type="spellEnd"/>
      <w:r w:rsidRPr="00F03C4C">
        <w:rPr>
          <w:rFonts w:ascii="Cambria" w:hAnsi="Cambria" w:cs="Times New Roman"/>
        </w:rPr>
        <w:t xml:space="preserve"> </w:t>
      </w:r>
      <w:proofErr w:type="spellStart"/>
      <w:r w:rsidRPr="00F03C4C">
        <w:rPr>
          <w:rFonts w:ascii="Cambria" w:hAnsi="Cambria" w:cs="Times New Roman"/>
        </w:rPr>
        <w:t>menunjukkan</w:t>
      </w:r>
      <w:proofErr w:type="spellEnd"/>
      <w:r w:rsidRPr="00F03C4C">
        <w:rPr>
          <w:rFonts w:ascii="Cambria" w:hAnsi="Cambria" w:cs="Times New Roman"/>
        </w:rPr>
        <w:t xml:space="preserve"> </w:t>
      </w:r>
      <w:proofErr w:type="spellStart"/>
      <w:r w:rsidRPr="00F03C4C">
        <w:rPr>
          <w:rFonts w:ascii="Cambria" w:hAnsi="Cambria" w:cs="Times New Roman"/>
        </w:rPr>
        <w:t>bahwa</w:t>
      </w:r>
      <w:proofErr w:type="spellEnd"/>
      <w:r w:rsidRPr="00F03C4C">
        <w:rPr>
          <w:rFonts w:ascii="Cambria" w:hAnsi="Cambria" w:cs="Times New Roman"/>
        </w:rPr>
        <w:t xml:space="preserve"> F1 dan F2 </w:t>
      </w:r>
      <w:proofErr w:type="spellStart"/>
      <w:r w:rsidRPr="00F03C4C">
        <w:rPr>
          <w:rFonts w:ascii="Cambria" w:hAnsi="Cambria" w:cs="Times New Roman"/>
        </w:rPr>
        <w:t>memiliki</w:t>
      </w:r>
      <w:proofErr w:type="spellEnd"/>
      <w:r w:rsidRPr="00F03C4C">
        <w:rPr>
          <w:rFonts w:ascii="Cambria" w:hAnsi="Cambria" w:cs="Times New Roman"/>
        </w:rPr>
        <w:t xml:space="preserve"> </w:t>
      </w:r>
      <w:proofErr w:type="spellStart"/>
      <w:r w:rsidR="009C7997">
        <w:rPr>
          <w:rFonts w:ascii="Cambria" w:hAnsi="Cambria" w:cs="Times New Roman"/>
        </w:rPr>
        <w:t>daya</w:t>
      </w:r>
      <w:proofErr w:type="spellEnd"/>
      <w:r w:rsidR="009C7997">
        <w:rPr>
          <w:rFonts w:ascii="Cambria" w:hAnsi="Cambria" w:cs="Times New Roman"/>
        </w:rPr>
        <w:t xml:space="preserve"> </w:t>
      </w:r>
      <w:proofErr w:type="spellStart"/>
      <w:r w:rsidR="009C7997">
        <w:rPr>
          <w:rFonts w:ascii="Cambria" w:hAnsi="Cambria" w:cs="Times New Roman"/>
        </w:rPr>
        <w:t>terima</w:t>
      </w:r>
      <w:proofErr w:type="spellEnd"/>
      <w:r w:rsidRPr="00F03C4C">
        <w:rPr>
          <w:rFonts w:ascii="Cambria" w:hAnsi="Cambria" w:cs="Times New Roman"/>
        </w:rPr>
        <w:t xml:space="preserve"> yang paling </w:t>
      </w:r>
      <w:proofErr w:type="spellStart"/>
      <w:r w:rsidRPr="00F03C4C">
        <w:rPr>
          <w:rFonts w:ascii="Cambria" w:hAnsi="Cambria" w:cs="Times New Roman"/>
        </w:rPr>
        <w:t>tinggi</w:t>
      </w:r>
      <w:proofErr w:type="spellEnd"/>
      <w:r w:rsidRPr="00F03C4C">
        <w:rPr>
          <w:rFonts w:ascii="Cambria" w:hAnsi="Cambria" w:cs="Times New Roman"/>
        </w:rPr>
        <w:t xml:space="preserve"> </w:t>
      </w:r>
      <w:proofErr w:type="spellStart"/>
      <w:r w:rsidRPr="00F03C4C">
        <w:rPr>
          <w:rFonts w:ascii="Cambria" w:hAnsi="Cambria" w:cs="Times New Roman"/>
        </w:rPr>
        <w:t>dibandingkan</w:t>
      </w:r>
      <w:proofErr w:type="spellEnd"/>
      <w:r w:rsidRPr="00F03C4C">
        <w:rPr>
          <w:rFonts w:ascii="Cambria" w:hAnsi="Cambria" w:cs="Times New Roman"/>
        </w:rPr>
        <w:t xml:space="preserve"> </w:t>
      </w:r>
      <w:proofErr w:type="spellStart"/>
      <w:r w:rsidRPr="00F03C4C">
        <w:rPr>
          <w:rFonts w:ascii="Cambria" w:hAnsi="Cambria" w:cs="Times New Roman"/>
        </w:rPr>
        <w:t>dengan</w:t>
      </w:r>
      <w:proofErr w:type="spellEnd"/>
      <w:r w:rsidRPr="00F03C4C">
        <w:rPr>
          <w:rFonts w:ascii="Cambria" w:hAnsi="Cambria" w:cs="Times New Roman"/>
        </w:rPr>
        <w:t xml:space="preserve"> formula lain</w:t>
      </w:r>
      <w:r w:rsidR="009C7997">
        <w:rPr>
          <w:rFonts w:ascii="Cambria" w:hAnsi="Cambria" w:cs="Times New Roman"/>
        </w:rPr>
        <w:t>.</w:t>
      </w:r>
      <w:r w:rsidRPr="00F03C4C">
        <w:rPr>
          <w:rFonts w:ascii="Cambria" w:hAnsi="Cambria" w:cs="Times New Roman"/>
        </w:rPr>
        <w:t xml:space="preserve"> </w:t>
      </w:r>
      <w:proofErr w:type="spellStart"/>
      <w:r w:rsidR="00D95178">
        <w:rPr>
          <w:rFonts w:ascii="Cambria" w:hAnsi="Cambria" w:cs="Times New Roman"/>
          <w:color w:val="000000" w:themeColor="text1"/>
        </w:rPr>
        <w:t>Berdasarkan</w:t>
      </w:r>
      <w:proofErr w:type="spellEnd"/>
      <w:r w:rsidR="00D95178">
        <w:rPr>
          <w:rFonts w:ascii="Cambria" w:hAnsi="Cambria" w:cs="Times New Roman"/>
          <w:color w:val="000000" w:themeColor="text1"/>
        </w:rPr>
        <w:t xml:space="preserve"> </w:t>
      </w:r>
      <w:proofErr w:type="spellStart"/>
      <w:r w:rsidRPr="00F03C4C">
        <w:rPr>
          <w:rFonts w:ascii="Cambria" w:hAnsi="Cambria" w:cs="Times New Roman"/>
          <w:color w:val="000000" w:themeColor="text1"/>
        </w:rPr>
        <w:t>penilaian</w:t>
      </w:r>
      <w:proofErr w:type="spellEnd"/>
      <w:r w:rsidRPr="00F03C4C">
        <w:rPr>
          <w:rFonts w:ascii="Cambria" w:hAnsi="Cambria" w:cs="Times New Roman"/>
          <w:color w:val="000000" w:themeColor="text1"/>
        </w:rPr>
        <w:t xml:space="preserve"> </w:t>
      </w:r>
      <w:proofErr w:type="spellStart"/>
      <w:r w:rsidR="009C7997">
        <w:rPr>
          <w:rFonts w:ascii="Cambria" w:hAnsi="Cambria" w:cs="Times New Roman"/>
          <w:color w:val="000000" w:themeColor="text1"/>
        </w:rPr>
        <w:t>tersebut</w:t>
      </w:r>
      <w:proofErr w:type="spellEnd"/>
      <w:r w:rsidR="009C7997">
        <w:rPr>
          <w:rFonts w:ascii="Cambria" w:hAnsi="Cambria" w:cs="Times New Roman"/>
          <w:color w:val="000000" w:themeColor="text1"/>
        </w:rPr>
        <w:t xml:space="preserve"> </w:t>
      </w:r>
      <w:proofErr w:type="spellStart"/>
      <w:r w:rsidR="009C7997">
        <w:rPr>
          <w:rFonts w:ascii="Cambria" w:hAnsi="Cambria" w:cs="Times New Roman"/>
          <w:color w:val="000000" w:themeColor="text1"/>
        </w:rPr>
        <w:t>maka</w:t>
      </w:r>
      <w:proofErr w:type="spellEnd"/>
      <w:r w:rsidRPr="00F03C4C">
        <w:rPr>
          <w:rFonts w:ascii="Cambria" w:hAnsi="Cambria" w:cs="Times New Roman"/>
          <w:color w:val="000000" w:themeColor="text1"/>
        </w:rPr>
        <w:t xml:space="preserve"> </w:t>
      </w:r>
      <w:proofErr w:type="spellStart"/>
      <w:r w:rsidRPr="00F03C4C">
        <w:rPr>
          <w:rFonts w:ascii="Cambria" w:hAnsi="Cambria" w:cs="Times New Roman"/>
          <w:color w:val="000000" w:themeColor="text1"/>
        </w:rPr>
        <w:t>dipilih</w:t>
      </w:r>
      <w:proofErr w:type="spellEnd"/>
      <w:r w:rsidRPr="00F03C4C">
        <w:rPr>
          <w:rFonts w:ascii="Cambria" w:hAnsi="Cambria" w:cs="Times New Roman"/>
          <w:color w:val="000000" w:themeColor="text1"/>
        </w:rPr>
        <w:t xml:space="preserve"> </w:t>
      </w:r>
      <w:proofErr w:type="spellStart"/>
      <w:r w:rsidR="00D95178">
        <w:rPr>
          <w:rFonts w:ascii="Cambria" w:hAnsi="Cambria" w:cs="Times New Roman"/>
          <w:color w:val="000000" w:themeColor="text1"/>
        </w:rPr>
        <w:t>biskuit</w:t>
      </w:r>
      <w:proofErr w:type="spellEnd"/>
      <w:r w:rsidRPr="00F03C4C">
        <w:rPr>
          <w:rFonts w:ascii="Cambria" w:hAnsi="Cambria" w:cs="Times New Roman"/>
          <w:color w:val="000000" w:themeColor="text1"/>
        </w:rPr>
        <w:t xml:space="preserve"> F2, </w:t>
      </w:r>
      <w:proofErr w:type="spellStart"/>
      <w:r w:rsidRPr="00F03C4C">
        <w:rPr>
          <w:rFonts w:ascii="Cambria" w:hAnsi="Cambria" w:cs="Times New Roman"/>
          <w:color w:val="000000" w:themeColor="text1"/>
        </w:rPr>
        <w:t>sebagai</w:t>
      </w:r>
      <w:proofErr w:type="spellEnd"/>
      <w:r w:rsidRPr="00F03C4C">
        <w:rPr>
          <w:rFonts w:ascii="Cambria" w:hAnsi="Cambria" w:cs="Times New Roman"/>
          <w:color w:val="000000" w:themeColor="text1"/>
        </w:rPr>
        <w:t xml:space="preserve"> formula </w:t>
      </w:r>
      <w:proofErr w:type="spellStart"/>
      <w:r w:rsidRPr="00F03C4C">
        <w:rPr>
          <w:rFonts w:ascii="Cambria" w:hAnsi="Cambria" w:cs="Times New Roman"/>
          <w:color w:val="000000" w:themeColor="text1"/>
        </w:rPr>
        <w:t>terpilih</w:t>
      </w:r>
      <w:proofErr w:type="spellEnd"/>
      <w:r w:rsidR="009C7997">
        <w:rPr>
          <w:rFonts w:ascii="Cambria" w:hAnsi="Cambria" w:cs="Times New Roman"/>
          <w:color w:val="000000" w:themeColor="text1"/>
        </w:rPr>
        <w:t>.</w:t>
      </w:r>
    </w:p>
    <w:p w14:paraId="207A772D" w14:textId="387ADAA5" w:rsidR="00D95178" w:rsidRDefault="00D95178" w:rsidP="00F03C4C">
      <w:pPr>
        <w:spacing w:after="0" w:line="240" w:lineRule="auto"/>
        <w:rPr>
          <w:rFonts w:ascii="Cambria" w:hAnsi="Cambria" w:cs="Times New Roman"/>
        </w:rPr>
      </w:pPr>
    </w:p>
    <w:p w14:paraId="5C22C34E" w14:textId="3CAB7F99" w:rsidR="00247F57" w:rsidRDefault="00247F57" w:rsidP="00F03C4C">
      <w:pPr>
        <w:spacing w:after="0" w:line="240" w:lineRule="auto"/>
        <w:rPr>
          <w:rFonts w:ascii="Cambria" w:hAnsi="Cambria" w:cs="Times New Roman"/>
        </w:rPr>
      </w:pPr>
    </w:p>
    <w:p w14:paraId="1A4AD884" w14:textId="446101D1" w:rsidR="00247F57" w:rsidRDefault="00247F57" w:rsidP="00F03C4C">
      <w:pPr>
        <w:spacing w:after="0" w:line="240" w:lineRule="auto"/>
        <w:rPr>
          <w:rFonts w:ascii="Cambria" w:hAnsi="Cambria" w:cs="Times New Roman"/>
        </w:rPr>
      </w:pPr>
    </w:p>
    <w:p w14:paraId="588F7BCD" w14:textId="138D4F40" w:rsidR="00247F57" w:rsidRDefault="00247F57" w:rsidP="00F03C4C">
      <w:pPr>
        <w:spacing w:after="0" w:line="240" w:lineRule="auto"/>
        <w:rPr>
          <w:rFonts w:ascii="Cambria" w:hAnsi="Cambria" w:cs="Times New Roman"/>
        </w:rPr>
      </w:pPr>
    </w:p>
    <w:p w14:paraId="2F2613AE" w14:textId="62CDD459" w:rsidR="00247F57" w:rsidRDefault="00247F57" w:rsidP="00F03C4C">
      <w:pPr>
        <w:spacing w:after="0" w:line="240" w:lineRule="auto"/>
        <w:rPr>
          <w:rFonts w:ascii="Cambria" w:hAnsi="Cambria" w:cs="Times New Roman"/>
        </w:rPr>
      </w:pPr>
    </w:p>
    <w:p w14:paraId="0D5847E1" w14:textId="0ECA4BA6" w:rsidR="00247F57" w:rsidRDefault="00247F57" w:rsidP="00F03C4C">
      <w:pPr>
        <w:spacing w:after="0" w:line="240" w:lineRule="auto"/>
        <w:rPr>
          <w:rFonts w:ascii="Cambria" w:hAnsi="Cambria" w:cs="Times New Roman"/>
        </w:rPr>
      </w:pPr>
    </w:p>
    <w:p w14:paraId="01C4C8AB" w14:textId="755305C9" w:rsidR="00247F57" w:rsidRDefault="00247F57" w:rsidP="00F03C4C">
      <w:pPr>
        <w:spacing w:after="0" w:line="240" w:lineRule="auto"/>
        <w:rPr>
          <w:rFonts w:ascii="Cambria" w:hAnsi="Cambria" w:cs="Times New Roman"/>
        </w:rPr>
      </w:pPr>
    </w:p>
    <w:p w14:paraId="0D11DCAC" w14:textId="77777777" w:rsidR="00247F57" w:rsidRDefault="00247F57" w:rsidP="00F03C4C">
      <w:pPr>
        <w:spacing w:after="0" w:line="240" w:lineRule="auto"/>
        <w:rPr>
          <w:rFonts w:ascii="Cambria" w:hAnsi="Cambria" w:cs="Times New Roman"/>
        </w:rPr>
      </w:pPr>
    </w:p>
    <w:p w14:paraId="2FBF1C39" w14:textId="373382C0" w:rsidR="00F03C4C" w:rsidRPr="00F03C4C" w:rsidRDefault="00F03C4C" w:rsidP="00F03C4C">
      <w:pPr>
        <w:spacing w:after="0" w:line="240" w:lineRule="auto"/>
        <w:rPr>
          <w:rFonts w:ascii="Cambria" w:hAnsi="Cambria" w:cs="Times New Roman"/>
        </w:rPr>
      </w:pPr>
      <w:r w:rsidRPr="00F03C4C">
        <w:rPr>
          <w:rFonts w:ascii="Cambria" w:hAnsi="Cambria" w:cs="Times New Roman"/>
        </w:rPr>
        <w:t xml:space="preserve">Tabel 4. </w:t>
      </w:r>
      <w:proofErr w:type="spellStart"/>
      <w:r w:rsidRPr="00F03C4C">
        <w:rPr>
          <w:rFonts w:ascii="Cambria" w:hAnsi="Cambria" w:cs="Times New Roman"/>
        </w:rPr>
        <w:t>Persentase</w:t>
      </w:r>
      <w:proofErr w:type="spellEnd"/>
      <w:r w:rsidRPr="00F03C4C">
        <w:rPr>
          <w:rFonts w:ascii="Cambria" w:hAnsi="Cambria" w:cs="Times New Roman"/>
        </w:rPr>
        <w:t xml:space="preserve"> </w:t>
      </w:r>
      <w:proofErr w:type="spellStart"/>
      <w:r w:rsidRPr="00F03C4C">
        <w:rPr>
          <w:rFonts w:ascii="Cambria" w:hAnsi="Cambria" w:cs="Times New Roman"/>
        </w:rPr>
        <w:t>tingkat</w:t>
      </w:r>
      <w:proofErr w:type="spellEnd"/>
      <w:r w:rsidRPr="00F03C4C">
        <w:rPr>
          <w:rFonts w:ascii="Cambria" w:hAnsi="Cambria" w:cs="Times New Roman"/>
        </w:rPr>
        <w:t xml:space="preserve"> </w:t>
      </w:r>
      <w:proofErr w:type="spellStart"/>
      <w:r w:rsidRPr="00F03C4C">
        <w:rPr>
          <w:rFonts w:ascii="Cambria" w:hAnsi="Cambria" w:cs="Times New Roman"/>
        </w:rPr>
        <w:t>kesukaan</w:t>
      </w:r>
      <w:proofErr w:type="spellEnd"/>
      <w:r w:rsidRPr="00F03C4C">
        <w:rPr>
          <w:rFonts w:ascii="Cambria" w:hAnsi="Cambria" w:cs="Times New Roman"/>
        </w:rPr>
        <w:t xml:space="preserve"> </w:t>
      </w:r>
      <w:proofErr w:type="spellStart"/>
      <w:r w:rsidR="0063512D">
        <w:rPr>
          <w:rFonts w:ascii="Cambria" w:hAnsi="Cambria" w:cs="Times New Roman"/>
        </w:rPr>
        <w:t>biskuit</w:t>
      </w:r>
      <w:proofErr w:type="spellEnd"/>
      <w:r w:rsidRPr="00F03C4C">
        <w:rPr>
          <w:rFonts w:ascii="Cambria" w:hAnsi="Cambria" w:cs="Times New Roman"/>
        </w:rPr>
        <w:t xml:space="preserve"> </w:t>
      </w:r>
      <w:commentRangeStart w:id="18"/>
      <w:proofErr w:type="spellStart"/>
      <w:r w:rsidRPr="00F03C4C">
        <w:rPr>
          <w:rFonts w:ascii="Cambria" w:hAnsi="Cambria" w:cs="Times New Roman"/>
        </w:rPr>
        <w:t>rempah</w:t>
      </w:r>
      <w:commentRangeEnd w:id="18"/>
      <w:proofErr w:type="spellEnd"/>
      <w:r w:rsidR="005259FA">
        <w:rPr>
          <w:rStyle w:val="CommentReference"/>
        </w:rPr>
        <w:commentReference w:id="18"/>
      </w:r>
    </w:p>
    <w:tbl>
      <w:tblPr>
        <w:tblW w:w="4494" w:type="dxa"/>
        <w:tblBorders>
          <w:top w:val="single" w:sz="4" w:space="0" w:color="auto"/>
          <w:bottom w:val="single" w:sz="4" w:space="0" w:color="auto"/>
        </w:tblBorders>
        <w:tblLook w:val="04A0" w:firstRow="1" w:lastRow="0" w:firstColumn="1" w:lastColumn="0" w:noHBand="0" w:noVBand="1"/>
      </w:tblPr>
      <w:tblGrid>
        <w:gridCol w:w="764"/>
        <w:gridCol w:w="650"/>
        <w:gridCol w:w="652"/>
        <w:gridCol w:w="523"/>
        <w:gridCol w:w="727"/>
        <w:gridCol w:w="845"/>
        <w:gridCol w:w="1043"/>
      </w:tblGrid>
      <w:tr w:rsidR="00DA13BB" w:rsidRPr="00F03C4C" w14:paraId="68ADAEBC" w14:textId="77777777" w:rsidTr="00FE7A42">
        <w:trPr>
          <w:trHeight w:val="244"/>
        </w:trPr>
        <w:tc>
          <w:tcPr>
            <w:tcW w:w="665" w:type="dxa"/>
            <w:tcBorders>
              <w:top w:val="single" w:sz="4" w:space="0" w:color="auto"/>
              <w:bottom w:val="single" w:sz="4" w:space="0" w:color="auto"/>
            </w:tcBorders>
            <w:shd w:val="clear" w:color="auto" w:fill="auto"/>
            <w:noWrap/>
            <w:vAlign w:val="bottom"/>
            <w:hideMark/>
          </w:tcPr>
          <w:p w14:paraId="51AA8BD3" w14:textId="77777777" w:rsidR="00F03C4C" w:rsidRPr="00F03C4C" w:rsidRDefault="00F03C4C" w:rsidP="00F03C4C">
            <w:pPr>
              <w:spacing w:after="0" w:line="240" w:lineRule="auto"/>
              <w:rPr>
                <w:rFonts w:ascii="Cambria" w:eastAsia="Times New Roman" w:hAnsi="Cambria" w:cs="Times New Roman"/>
                <w:b/>
                <w:bCs/>
                <w:color w:val="000000"/>
                <w:sz w:val="14"/>
                <w:szCs w:val="14"/>
              </w:rPr>
            </w:pPr>
            <w:r w:rsidRPr="00F03C4C">
              <w:rPr>
                <w:rFonts w:ascii="Cambria" w:eastAsia="Times New Roman" w:hAnsi="Cambria" w:cs="Times New Roman"/>
                <w:b/>
                <w:bCs/>
                <w:color w:val="000000"/>
                <w:sz w:val="14"/>
                <w:szCs w:val="14"/>
              </w:rPr>
              <w:t>Formula</w:t>
            </w:r>
          </w:p>
        </w:tc>
        <w:tc>
          <w:tcPr>
            <w:tcW w:w="562" w:type="dxa"/>
            <w:tcBorders>
              <w:top w:val="single" w:sz="4" w:space="0" w:color="auto"/>
              <w:bottom w:val="single" w:sz="4" w:space="0" w:color="auto"/>
            </w:tcBorders>
            <w:shd w:val="clear" w:color="auto" w:fill="auto"/>
            <w:noWrap/>
            <w:vAlign w:val="bottom"/>
            <w:hideMark/>
          </w:tcPr>
          <w:p w14:paraId="16C304AE" w14:textId="77777777" w:rsidR="00F03C4C" w:rsidRPr="00F03C4C" w:rsidRDefault="00F03C4C" w:rsidP="00F03C4C">
            <w:pPr>
              <w:spacing w:after="0" w:line="240" w:lineRule="auto"/>
              <w:rPr>
                <w:rFonts w:ascii="Cambria" w:eastAsia="Times New Roman" w:hAnsi="Cambria" w:cs="Times New Roman"/>
                <w:b/>
                <w:bCs/>
                <w:color w:val="000000"/>
                <w:sz w:val="14"/>
                <w:szCs w:val="14"/>
              </w:rPr>
            </w:pPr>
            <w:r w:rsidRPr="00F03C4C">
              <w:rPr>
                <w:rFonts w:ascii="Cambria" w:eastAsia="Times New Roman" w:hAnsi="Cambria" w:cs="Times New Roman"/>
                <w:b/>
                <w:bCs/>
                <w:color w:val="000000"/>
                <w:sz w:val="14"/>
                <w:szCs w:val="14"/>
              </w:rPr>
              <w:t>Warna</w:t>
            </w:r>
          </w:p>
        </w:tc>
        <w:tc>
          <w:tcPr>
            <w:tcW w:w="563" w:type="dxa"/>
            <w:tcBorders>
              <w:top w:val="single" w:sz="4" w:space="0" w:color="auto"/>
              <w:bottom w:val="single" w:sz="4" w:space="0" w:color="auto"/>
            </w:tcBorders>
            <w:shd w:val="clear" w:color="auto" w:fill="auto"/>
            <w:noWrap/>
            <w:vAlign w:val="bottom"/>
            <w:hideMark/>
          </w:tcPr>
          <w:p w14:paraId="529757AF" w14:textId="77777777" w:rsidR="00F03C4C" w:rsidRPr="00F03C4C" w:rsidRDefault="00F03C4C" w:rsidP="00F03C4C">
            <w:pPr>
              <w:spacing w:after="0" w:line="240" w:lineRule="auto"/>
              <w:rPr>
                <w:rFonts w:ascii="Cambria" w:eastAsia="Times New Roman" w:hAnsi="Cambria" w:cs="Times New Roman"/>
                <w:b/>
                <w:bCs/>
                <w:color w:val="000000"/>
                <w:sz w:val="14"/>
                <w:szCs w:val="14"/>
              </w:rPr>
            </w:pPr>
            <w:r w:rsidRPr="00F03C4C">
              <w:rPr>
                <w:rFonts w:ascii="Cambria" w:eastAsia="Times New Roman" w:hAnsi="Cambria" w:cs="Times New Roman"/>
                <w:b/>
                <w:bCs/>
                <w:color w:val="000000"/>
                <w:sz w:val="14"/>
                <w:szCs w:val="14"/>
              </w:rPr>
              <w:t>Aroma</w:t>
            </w:r>
          </w:p>
        </w:tc>
        <w:tc>
          <w:tcPr>
            <w:tcW w:w="472" w:type="dxa"/>
            <w:tcBorders>
              <w:top w:val="single" w:sz="4" w:space="0" w:color="auto"/>
              <w:bottom w:val="single" w:sz="4" w:space="0" w:color="auto"/>
            </w:tcBorders>
            <w:shd w:val="clear" w:color="auto" w:fill="auto"/>
            <w:noWrap/>
            <w:vAlign w:val="bottom"/>
            <w:hideMark/>
          </w:tcPr>
          <w:p w14:paraId="130BB190" w14:textId="77777777" w:rsidR="00F03C4C" w:rsidRPr="00F03C4C" w:rsidRDefault="00F03C4C" w:rsidP="00F03C4C">
            <w:pPr>
              <w:spacing w:after="0" w:line="240" w:lineRule="auto"/>
              <w:rPr>
                <w:rFonts w:ascii="Cambria" w:eastAsia="Times New Roman" w:hAnsi="Cambria" w:cs="Times New Roman"/>
                <w:b/>
                <w:bCs/>
                <w:color w:val="000000"/>
                <w:sz w:val="14"/>
                <w:szCs w:val="14"/>
              </w:rPr>
            </w:pPr>
            <w:r w:rsidRPr="00F03C4C">
              <w:rPr>
                <w:rFonts w:ascii="Cambria" w:eastAsia="Times New Roman" w:hAnsi="Cambria" w:cs="Times New Roman"/>
                <w:b/>
                <w:bCs/>
                <w:color w:val="000000"/>
                <w:sz w:val="14"/>
                <w:szCs w:val="14"/>
              </w:rPr>
              <w:t>Rasa</w:t>
            </w:r>
          </w:p>
        </w:tc>
        <w:tc>
          <w:tcPr>
            <w:tcW w:w="631" w:type="dxa"/>
            <w:tcBorders>
              <w:top w:val="single" w:sz="4" w:space="0" w:color="auto"/>
              <w:bottom w:val="single" w:sz="4" w:space="0" w:color="auto"/>
            </w:tcBorders>
            <w:shd w:val="clear" w:color="auto" w:fill="auto"/>
            <w:noWrap/>
            <w:vAlign w:val="bottom"/>
            <w:hideMark/>
          </w:tcPr>
          <w:p w14:paraId="42A7A4C0" w14:textId="77777777" w:rsidR="00F03C4C" w:rsidRPr="00F03C4C" w:rsidRDefault="00F03C4C" w:rsidP="00F03C4C">
            <w:pPr>
              <w:spacing w:after="0" w:line="240" w:lineRule="auto"/>
              <w:rPr>
                <w:rFonts w:ascii="Cambria" w:eastAsia="Times New Roman" w:hAnsi="Cambria" w:cs="Times New Roman"/>
                <w:b/>
                <w:bCs/>
                <w:color w:val="000000"/>
                <w:sz w:val="14"/>
                <w:szCs w:val="14"/>
              </w:rPr>
            </w:pPr>
            <w:proofErr w:type="spellStart"/>
            <w:r w:rsidRPr="00F03C4C">
              <w:rPr>
                <w:rFonts w:ascii="Cambria" w:eastAsia="Times New Roman" w:hAnsi="Cambria" w:cs="Times New Roman"/>
                <w:b/>
                <w:bCs/>
                <w:color w:val="000000"/>
                <w:sz w:val="14"/>
                <w:szCs w:val="14"/>
              </w:rPr>
              <w:t>Tekstur</w:t>
            </w:r>
            <w:proofErr w:type="spellEnd"/>
          </w:p>
        </w:tc>
        <w:tc>
          <w:tcPr>
            <w:tcW w:w="685" w:type="dxa"/>
            <w:tcBorders>
              <w:top w:val="single" w:sz="4" w:space="0" w:color="auto"/>
              <w:bottom w:val="single" w:sz="4" w:space="0" w:color="auto"/>
            </w:tcBorders>
            <w:shd w:val="clear" w:color="auto" w:fill="auto"/>
            <w:noWrap/>
            <w:vAlign w:val="bottom"/>
            <w:hideMark/>
          </w:tcPr>
          <w:p w14:paraId="34681F82" w14:textId="17D5E8C3" w:rsidR="00F03C4C" w:rsidRPr="00F03C4C" w:rsidRDefault="007346E4" w:rsidP="00F03C4C">
            <w:pPr>
              <w:spacing w:after="0" w:line="240" w:lineRule="auto"/>
              <w:rPr>
                <w:rFonts w:ascii="Cambria" w:eastAsia="Times New Roman" w:hAnsi="Cambria" w:cs="Times New Roman"/>
                <w:b/>
                <w:bCs/>
                <w:i/>
                <w:iCs/>
                <w:color w:val="000000"/>
                <w:sz w:val="14"/>
                <w:szCs w:val="14"/>
              </w:rPr>
            </w:pPr>
            <w:r w:rsidRPr="007346E4">
              <w:rPr>
                <w:rFonts w:ascii="Cambria" w:eastAsia="Times New Roman" w:hAnsi="Cambria" w:cs="Times New Roman"/>
                <w:b/>
                <w:bCs/>
                <w:i/>
                <w:iCs/>
                <w:color w:val="000000"/>
                <w:sz w:val="14"/>
                <w:szCs w:val="14"/>
              </w:rPr>
              <w:t>Aftertaste</w:t>
            </w:r>
          </w:p>
        </w:tc>
        <w:tc>
          <w:tcPr>
            <w:tcW w:w="916" w:type="dxa"/>
            <w:tcBorders>
              <w:top w:val="single" w:sz="4" w:space="0" w:color="auto"/>
              <w:bottom w:val="single" w:sz="4" w:space="0" w:color="auto"/>
            </w:tcBorders>
            <w:shd w:val="clear" w:color="auto" w:fill="auto"/>
            <w:noWrap/>
            <w:vAlign w:val="bottom"/>
            <w:hideMark/>
          </w:tcPr>
          <w:p w14:paraId="198D9C30" w14:textId="77777777" w:rsidR="00F03C4C" w:rsidRPr="00F03C4C" w:rsidRDefault="00F03C4C" w:rsidP="00F03C4C">
            <w:pPr>
              <w:spacing w:after="0" w:line="240" w:lineRule="auto"/>
              <w:rPr>
                <w:rFonts w:ascii="Cambria" w:eastAsia="Times New Roman" w:hAnsi="Cambria" w:cs="Times New Roman"/>
                <w:b/>
                <w:bCs/>
                <w:color w:val="000000"/>
                <w:sz w:val="14"/>
                <w:szCs w:val="14"/>
              </w:rPr>
            </w:pPr>
            <w:proofErr w:type="spellStart"/>
            <w:r w:rsidRPr="00F03C4C">
              <w:rPr>
                <w:rFonts w:ascii="Cambria" w:eastAsia="Times New Roman" w:hAnsi="Cambria" w:cs="Times New Roman"/>
                <w:b/>
                <w:bCs/>
                <w:color w:val="000000"/>
                <w:sz w:val="14"/>
                <w:szCs w:val="14"/>
              </w:rPr>
              <w:t>Keseluruhan</w:t>
            </w:r>
            <w:proofErr w:type="spellEnd"/>
          </w:p>
        </w:tc>
      </w:tr>
      <w:tr w:rsidR="00DA13BB" w:rsidRPr="00F03C4C" w14:paraId="4D3F9B20" w14:textId="77777777" w:rsidTr="00FE7A42">
        <w:trPr>
          <w:trHeight w:val="244"/>
        </w:trPr>
        <w:tc>
          <w:tcPr>
            <w:tcW w:w="665" w:type="dxa"/>
            <w:tcBorders>
              <w:top w:val="single" w:sz="4" w:space="0" w:color="auto"/>
            </w:tcBorders>
            <w:shd w:val="clear" w:color="auto" w:fill="auto"/>
            <w:noWrap/>
            <w:vAlign w:val="bottom"/>
            <w:hideMark/>
          </w:tcPr>
          <w:p w14:paraId="6A153F35" w14:textId="77777777" w:rsidR="00F03C4C" w:rsidRPr="001C2FE5" w:rsidRDefault="00F03C4C" w:rsidP="00F03C4C">
            <w:pPr>
              <w:spacing w:after="0" w:line="240" w:lineRule="auto"/>
              <w:rPr>
                <w:rFonts w:ascii="Cambria" w:eastAsia="Times New Roman" w:hAnsi="Cambria" w:cs="Times New Roman"/>
                <w:color w:val="000000"/>
                <w:sz w:val="14"/>
                <w:szCs w:val="14"/>
              </w:rPr>
            </w:pPr>
            <w:proofErr w:type="spellStart"/>
            <w:r w:rsidRPr="001C2FE5">
              <w:rPr>
                <w:rFonts w:ascii="Cambria" w:eastAsia="Times New Roman" w:hAnsi="Cambria" w:cs="Times New Roman"/>
                <w:color w:val="000000"/>
                <w:sz w:val="14"/>
                <w:szCs w:val="14"/>
              </w:rPr>
              <w:t>Kontrol</w:t>
            </w:r>
            <w:proofErr w:type="spellEnd"/>
          </w:p>
        </w:tc>
        <w:tc>
          <w:tcPr>
            <w:tcW w:w="562" w:type="dxa"/>
            <w:tcBorders>
              <w:top w:val="single" w:sz="4" w:space="0" w:color="auto"/>
            </w:tcBorders>
            <w:shd w:val="clear" w:color="auto" w:fill="auto"/>
            <w:noWrap/>
            <w:vAlign w:val="bottom"/>
            <w:hideMark/>
          </w:tcPr>
          <w:p w14:paraId="4C26B715"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43.3</w:t>
            </w:r>
          </w:p>
        </w:tc>
        <w:tc>
          <w:tcPr>
            <w:tcW w:w="563" w:type="dxa"/>
            <w:tcBorders>
              <w:top w:val="single" w:sz="4" w:space="0" w:color="auto"/>
            </w:tcBorders>
            <w:shd w:val="clear" w:color="auto" w:fill="auto"/>
            <w:noWrap/>
            <w:vAlign w:val="bottom"/>
            <w:hideMark/>
          </w:tcPr>
          <w:p w14:paraId="044A90E0"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56.7</w:t>
            </w:r>
          </w:p>
        </w:tc>
        <w:tc>
          <w:tcPr>
            <w:tcW w:w="472" w:type="dxa"/>
            <w:tcBorders>
              <w:top w:val="single" w:sz="4" w:space="0" w:color="auto"/>
            </w:tcBorders>
            <w:shd w:val="clear" w:color="auto" w:fill="auto"/>
            <w:noWrap/>
            <w:vAlign w:val="bottom"/>
            <w:hideMark/>
          </w:tcPr>
          <w:p w14:paraId="3BA49899"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76.7</w:t>
            </w:r>
          </w:p>
        </w:tc>
        <w:tc>
          <w:tcPr>
            <w:tcW w:w="631" w:type="dxa"/>
            <w:tcBorders>
              <w:top w:val="single" w:sz="4" w:space="0" w:color="auto"/>
            </w:tcBorders>
            <w:shd w:val="clear" w:color="auto" w:fill="auto"/>
            <w:noWrap/>
            <w:vAlign w:val="bottom"/>
            <w:hideMark/>
          </w:tcPr>
          <w:p w14:paraId="347EFA67"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96.7</w:t>
            </w:r>
          </w:p>
        </w:tc>
        <w:tc>
          <w:tcPr>
            <w:tcW w:w="685" w:type="dxa"/>
            <w:tcBorders>
              <w:top w:val="single" w:sz="4" w:space="0" w:color="auto"/>
            </w:tcBorders>
            <w:shd w:val="clear" w:color="auto" w:fill="auto"/>
            <w:noWrap/>
            <w:vAlign w:val="bottom"/>
            <w:hideMark/>
          </w:tcPr>
          <w:p w14:paraId="06590C93"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76.7</w:t>
            </w:r>
          </w:p>
        </w:tc>
        <w:tc>
          <w:tcPr>
            <w:tcW w:w="916" w:type="dxa"/>
            <w:tcBorders>
              <w:top w:val="single" w:sz="4" w:space="0" w:color="auto"/>
            </w:tcBorders>
            <w:shd w:val="clear" w:color="auto" w:fill="auto"/>
            <w:noWrap/>
            <w:vAlign w:val="bottom"/>
            <w:hideMark/>
          </w:tcPr>
          <w:p w14:paraId="21441E00"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70.0</w:t>
            </w:r>
          </w:p>
        </w:tc>
      </w:tr>
      <w:tr w:rsidR="00DA13BB" w:rsidRPr="00F03C4C" w14:paraId="65EEF9DA" w14:textId="77777777" w:rsidTr="00FE7A42">
        <w:trPr>
          <w:trHeight w:val="244"/>
        </w:trPr>
        <w:tc>
          <w:tcPr>
            <w:tcW w:w="665" w:type="dxa"/>
            <w:shd w:val="clear" w:color="auto" w:fill="auto"/>
            <w:noWrap/>
            <w:vAlign w:val="bottom"/>
            <w:hideMark/>
          </w:tcPr>
          <w:p w14:paraId="1C2EEC26" w14:textId="77777777" w:rsidR="00F03C4C" w:rsidRPr="001C2FE5" w:rsidRDefault="00F03C4C" w:rsidP="00F03C4C">
            <w:pPr>
              <w:spacing w:after="0" w:line="240" w:lineRule="auto"/>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F1</w:t>
            </w:r>
          </w:p>
        </w:tc>
        <w:tc>
          <w:tcPr>
            <w:tcW w:w="562" w:type="dxa"/>
            <w:shd w:val="clear" w:color="auto" w:fill="auto"/>
            <w:noWrap/>
            <w:vAlign w:val="bottom"/>
            <w:hideMark/>
          </w:tcPr>
          <w:p w14:paraId="4F263942"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83.3</w:t>
            </w:r>
          </w:p>
        </w:tc>
        <w:tc>
          <w:tcPr>
            <w:tcW w:w="563" w:type="dxa"/>
            <w:shd w:val="clear" w:color="auto" w:fill="auto"/>
            <w:noWrap/>
            <w:vAlign w:val="bottom"/>
            <w:hideMark/>
          </w:tcPr>
          <w:p w14:paraId="086F6F73"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83.3</w:t>
            </w:r>
          </w:p>
        </w:tc>
        <w:tc>
          <w:tcPr>
            <w:tcW w:w="472" w:type="dxa"/>
            <w:shd w:val="clear" w:color="auto" w:fill="auto"/>
            <w:noWrap/>
            <w:vAlign w:val="bottom"/>
            <w:hideMark/>
          </w:tcPr>
          <w:p w14:paraId="3613336B"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70.0</w:t>
            </w:r>
          </w:p>
        </w:tc>
        <w:tc>
          <w:tcPr>
            <w:tcW w:w="631" w:type="dxa"/>
            <w:shd w:val="clear" w:color="auto" w:fill="auto"/>
            <w:noWrap/>
            <w:vAlign w:val="bottom"/>
            <w:hideMark/>
          </w:tcPr>
          <w:p w14:paraId="19A862E5"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100.0</w:t>
            </w:r>
          </w:p>
        </w:tc>
        <w:tc>
          <w:tcPr>
            <w:tcW w:w="685" w:type="dxa"/>
            <w:shd w:val="clear" w:color="auto" w:fill="auto"/>
            <w:noWrap/>
            <w:vAlign w:val="bottom"/>
            <w:hideMark/>
          </w:tcPr>
          <w:p w14:paraId="6BE6A88E"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76.7</w:t>
            </w:r>
          </w:p>
        </w:tc>
        <w:tc>
          <w:tcPr>
            <w:tcW w:w="916" w:type="dxa"/>
            <w:shd w:val="clear" w:color="auto" w:fill="auto"/>
            <w:noWrap/>
            <w:vAlign w:val="bottom"/>
            <w:hideMark/>
          </w:tcPr>
          <w:p w14:paraId="0ADD46BA"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82.7</w:t>
            </w:r>
          </w:p>
        </w:tc>
      </w:tr>
      <w:tr w:rsidR="00DA13BB" w:rsidRPr="00F03C4C" w14:paraId="60926061" w14:textId="77777777" w:rsidTr="00FE7A42">
        <w:trPr>
          <w:trHeight w:val="244"/>
        </w:trPr>
        <w:tc>
          <w:tcPr>
            <w:tcW w:w="665" w:type="dxa"/>
            <w:shd w:val="clear" w:color="auto" w:fill="auto"/>
            <w:noWrap/>
            <w:vAlign w:val="bottom"/>
            <w:hideMark/>
          </w:tcPr>
          <w:p w14:paraId="1BF40773" w14:textId="77777777" w:rsidR="00F03C4C" w:rsidRPr="001C2FE5" w:rsidRDefault="00F03C4C" w:rsidP="00F03C4C">
            <w:pPr>
              <w:spacing w:after="0" w:line="240" w:lineRule="auto"/>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F2</w:t>
            </w:r>
          </w:p>
        </w:tc>
        <w:tc>
          <w:tcPr>
            <w:tcW w:w="562" w:type="dxa"/>
            <w:shd w:val="clear" w:color="auto" w:fill="auto"/>
            <w:noWrap/>
            <w:vAlign w:val="bottom"/>
            <w:hideMark/>
          </w:tcPr>
          <w:p w14:paraId="7BCE85CA"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96.7</w:t>
            </w:r>
          </w:p>
        </w:tc>
        <w:tc>
          <w:tcPr>
            <w:tcW w:w="563" w:type="dxa"/>
            <w:shd w:val="clear" w:color="auto" w:fill="auto"/>
            <w:noWrap/>
            <w:vAlign w:val="bottom"/>
            <w:hideMark/>
          </w:tcPr>
          <w:p w14:paraId="3CEF8D5F"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83.3</w:t>
            </w:r>
          </w:p>
        </w:tc>
        <w:tc>
          <w:tcPr>
            <w:tcW w:w="472" w:type="dxa"/>
            <w:shd w:val="clear" w:color="auto" w:fill="auto"/>
            <w:noWrap/>
            <w:vAlign w:val="bottom"/>
            <w:hideMark/>
          </w:tcPr>
          <w:p w14:paraId="4D0F3A12"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70.0</w:t>
            </w:r>
          </w:p>
        </w:tc>
        <w:tc>
          <w:tcPr>
            <w:tcW w:w="631" w:type="dxa"/>
            <w:shd w:val="clear" w:color="auto" w:fill="auto"/>
            <w:noWrap/>
            <w:vAlign w:val="bottom"/>
            <w:hideMark/>
          </w:tcPr>
          <w:p w14:paraId="5C33A618"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93.3</w:t>
            </w:r>
          </w:p>
        </w:tc>
        <w:tc>
          <w:tcPr>
            <w:tcW w:w="685" w:type="dxa"/>
            <w:shd w:val="clear" w:color="auto" w:fill="auto"/>
            <w:noWrap/>
            <w:vAlign w:val="bottom"/>
            <w:hideMark/>
          </w:tcPr>
          <w:p w14:paraId="4477D397"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70.0</w:t>
            </w:r>
          </w:p>
        </w:tc>
        <w:tc>
          <w:tcPr>
            <w:tcW w:w="916" w:type="dxa"/>
            <w:shd w:val="clear" w:color="auto" w:fill="auto"/>
            <w:noWrap/>
            <w:vAlign w:val="bottom"/>
            <w:hideMark/>
          </w:tcPr>
          <w:p w14:paraId="43FD1EC6" w14:textId="77777777" w:rsidR="00F03C4C" w:rsidRPr="001C2FE5" w:rsidRDefault="00F03C4C" w:rsidP="00F03C4C">
            <w:pPr>
              <w:spacing w:after="0" w:line="240" w:lineRule="auto"/>
              <w:jc w:val="right"/>
              <w:rPr>
                <w:rFonts w:ascii="Cambria" w:eastAsia="Times New Roman" w:hAnsi="Cambria" w:cs="Times New Roman"/>
                <w:color w:val="000000"/>
                <w:sz w:val="14"/>
                <w:szCs w:val="14"/>
              </w:rPr>
            </w:pPr>
            <w:r w:rsidRPr="001C2FE5">
              <w:rPr>
                <w:rFonts w:ascii="Cambria" w:eastAsia="Times New Roman" w:hAnsi="Cambria" w:cs="Times New Roman"/>
                <w:color w:val="000000"/>
                <w:sz w:val="14"/>
                <w:szCs w:val="14"/>
              </w:rPr>
              <w:t>82.7</w:t>
            </w:r>
          </w:p>
        </w:tc>
      </w:tr>
      <w:tr w:rsidR="00DA13BB" w:rsidRPr="00F03C4C" w14:paraId="1063520D" w14:textId="77777777" w:rsidTr="00FE7A42">
        <w:trPr>
          <w:trHeight w:val="244"/>
        </w:trPr>
        <w:tc>
          <w:tcPr>
            <w:tcW w:w="665" w:type="dxa"/>
            <w:shd w:val="clear" w:color="auto" w:fill="auto"/>
            <w:noWrap/>
            <w:vAlign w:val="bottom"/>
            <w:hideMark/>
          </w:tcPr>
          <w:p w14:paraId="6A8849E5" w14:textId="77777777" w:rsidR="00F03C4C" w:rsidRPr="00F03C4C" w:rsidRDefault="00F03C4C" w:rsidP="00F03C4C">
            <w:pPr>
              <w:spacing w:after="0" w:line="240" w:lineRule="auto"/>
              <w:rPr>
                <w:rFonts w:ascii="Cambria" w:eastAsia="Times New Roman" w:hAnsi="Cambria" w:cs="Times New Roman"/>
                <w:color w:val="000000"/>
                <w:sz w:val="14"/>
                <w:szCs w:val="14"/>
              </w:rPr>
            </w:pPr>
            <w:r w:rsidRPr="00F03C4C">
              <w:rPr>
                <w:rFonts w:ascii="Cambria" w:eastAsia="Times New Roman" w:hAnsi="Cambria" w:cs="Times New Roman"/>
                <w:color w:val="000000"/>
                <w:sz w:val="14"/>
                <w:szCs w:val="14"/>
              </w:rPr>
              <w:t>F3</w:t>
            </w:r>
          </w:p>
        </w:tc>
        <w:tc>
          <w:tcPr>
            <w:tcW w:w="562" w:type="dxa"/>
            <w:shd w:val="clear" w:color="auto" w:fill="auto"/>
            <w:noWrap/>
            <w:vAlign w:val="bottom"/>
            <w:hideMark/>
          </w:tcPr>
          <w:p w14:paraId="0987BC2C" w14:textId="77777777" w:rsidR="00F03C4C" w:rsidRPr="00F03C4C" w:rsidRDefault="00F03C4C" w:rsidP="00F03C4C">
            <w:pPr>
              <w:spacing w:after="0" w:line="240" w:lineRule="auto"/>
              <w:jc w:val="right"/>
              <w:rPr>
                <w:rFonts w:ascii="Cambria" w:eastAsia="Times New Roman" w:hAnsi="Cambria" w:cs="Times New Roman"/>
                <w:color w:val="000000"/>
                <w:sz w:val="14"/>
                <w:szCs w:val="14"/>
              </w:rPr>
            </w:pPr>
            <w:r w:rsidRPr="00F03C4C">
              <w:rPr>
                <w:rFonts w:ascii="Cambria" w:eastAsia="Times New Roman" w:hAnsi="Cambria" w:cs="Times New Roman"/>
                <w:color w:val="000000"/>
                <w:sz w:val="14"/>
                <w:szCs w:val="14"/>
              </w:rPr>
              <w:t>83.3</w:t>
            </w:r>
          </w:p>
        </w:tc>
        <w:tc>
          <w:tcPr>
            <w:tcW w:w="563" w:type="dxa"/>
            <w:shd w:val="clear" w:color="auto" w:fill="auto"/>
            <w:noWrap/>
            <w:vAlign w:val="bottom"/>
            <w:hideMark/>
          </w:tcPr>
          <w:p w14:paraId="374A9FA1" w14:textId="77777777" w:rsidR="00F03C4C" w:rsidRPr="00F03C4C" w:rsidRDefault="00F03C4C" w:rsidP="00F03C4C">
            <w:pPr>
              <w:spacing w:after="0" w:line="240" w:lineRule="auto"/>
              <w:jc w:val="right"/>
              <w:rPr>
                <w:rFonts w:ascii="Cambria" w:eastAsia="Times New Roman" w:hAnsi="Cambria" w:cs="Times New Roman"/>
                <w:color w:val="000000"/>
                <w:sz w:val="14"/>
                <w:szCs w:val="14"/>
              </w:rPr>
            </w:pPr>
            <w:r w:rsidRPr="00F03C4C">
              <w:rPr>
                <w:rFonts w:ascii="Cambria" w:eastAsia="Times New Roman" w:hAnsi="Cambria" w:cs="Times New Roman"/>
                <w:color w:val="000000"/>
                <w:sz w:val="14"/>
                <w:szCs w:val="14"/>
              </w:rPr>
              <w:t>80.0</w:t>
            </w:r>
          </w:p>
        </w:tc>
        <w:tc>
          <w:tcPr>
            <w:tcW w:w="472" w:type="dxa"/>
            <w:shd w:val="clear" w:color="auto" w:fill="auto"/>
            <w:noWrap/>
            <w:vAlign w:val="bottom"/>
            <w:hideMark/>
          </w:tcPr>
          <w:p w14:paraId="44DAAD71" w14:textId="77777777" w:rsidR="00F03C4C" w:rsidRPr="00F03C4C" w:rsidRDefault="00F03C4C" w:rsidP="00F03C4C">
            <w:pPr>
              <w:spacing w:after="0" w:line="240" w:lineRule="auto"/>
              <w:jc w:val="right"/>
              <w:rPr>
                <w:rFonts w:ascii="Cambria" w:eastAsia="Times New Roman" w:hAnsi="Cambria" w:cs="Times New Roman"/>
                <w:color w:val="000000"/>
                <w:sz w:val="14"/>
                <w:szCs w:val="14"/>
              </w:rPr>
            </w:pPr>
            <w:r w:rsidRPr="00F03C4C">
              <w:rPr>
                <w:rFonts w:ascii="Cambria" w:eastAsia="Times New Roman" w:hAnsi="Cambria" w:cs="Times New Roman"/>
                <w:color w:val="000000"/>
                <w:sz w:val="14"/>
                <w:szCs w:val="14"/>
              </w:rPr>
              <w:t>60.0</w:t>
            </w:r>
          </w:p>
        </w:tc>
        <w:tc>
          <w:tcPr>
            <w:tcW w:w="631" w:type="dxa"/>
            <w:shd w:val="clear" w:color="auto" w:fill="auto"/>
            <w:noWrap/>
            <w:vAlign w:val="bottom"/>
            <w:hideMark/>
          </w:tcPr>
          <w:p w14:paraId="143CAC9C" w14:textId="77777777" w:rsidR="00F03C4C" w:rsidRPr="00F03C4C" w:rsidRDefault="00F03C4C" w:rsidP="00F03C4C">
            <w:pPr>
              <w:spacing w:after="0" w:line="240" w:lineRule="auto"/>
              <w:jc w:val="right"/>
              <w:rPr>
                <w:rFonts w:ascii="Cambria" w:eastAsia="Times New Roman" w:hAnsi="Cambria" w:cs="Times New Roman"/>
                <w:color w:val="000000"/>
                <w:sz w:val="14"/>
                <w:szCs w:val="14"/>
              </w:rPr>
            </w:pPr>
            <w:r w:rsidRPr="00F03C4C">
              <w:rPr>
                <w:rFonts w:ascii="Cambria" w:eastAsia="Times New Roman" w:hAnsi="Cambria" w:cs="Times New Roman"/>
                <w:color w:val="000000"/>
                <w:sz w:val="14"/>
                <w:szCs w:val="14"/>
              </w:rPr>
              <w:t>86.7</w:t>
            </w:r>
          </w:p>
        </w:tc>
        <w:tc>
          <w:tcPr>
            <w:tcW w:w="685" w:type="dxa"/>
            <w:shd w:val="clear" w:color="auto" w:fill="auto"/>
            <w:noWrap/>
            <w:vAlign w:val="bottom"/>
            <w:hideMark/>
          </w:tcPr>
          <w:p w14:paraId="76B68701" w14:textId="77777777" w:rsidR="00F03C4C" w:rsidRPr="00F03C4C" w:rsidRDefault="00F03C4C" w:rsidP="00F03C4C">
            <w:pPr>
              <w:spacing w:after="0" w:line="240" w:lineRule="auto"/>
              <w:jc w:val="right"/>
              <w:rPr>
                <w:rFonts w:ascii="Cambria" w:eastAsia="Times New Roman" w:hAnsi="Cambria" w:cs="Times New Roman"/>
                <w:color w:val="000000"/>
                <w:sz w:val="14"/>
                <w:szCs w:val="14"/>
              </w:rPr>
            </w:pPr>
            <w:r w:rsidRPr="00F03C4C">
              <w:rPr>
                <w:rFonts w:ascii="Cambria" w:eastAsia="Times New Roman" w:hAnsi="Cambria" w:cs="Times New Roman"/>
                <w:color w:val="000000"/>
                <w:sz w:val="14"/>
                <w:szCs w:val="14"/>
              </w:rPr>
              <w:t>56.7</w:t>
            </w:r>
          </w:p>
        </w:tc>
        <w:tc>
          <w:tcPr>
            <w:tcW w:w="916" w:type="dxa"/>
            <w:shd w:val="clear" w:color="auto" w:fill="auto"/>
            <w:noWrap/>
            <w:vAlign w:val="bottom"/>
            <w:hideMark/>
          </w:tcPr>
          <w:p w14:paraId="53662341" w14:textId="77777777" w:rsidR="00F03C4C" w:rsidRPr="00F03C4C" w:rsidRDefault="00F03C4C" w:rsidP="00F03C4C">
            <w:pPr>
              <w:spacing w:after="0" w:line="240" w:lineRule="auto"/>
              <w:jc w:val="right"/>
              <w:rPr>
                <w:rFonts w:ascii="Cambria" w:eastAsia="Times New Roman" w:hAnsi="Cambria" w:cs="Times New Roman"/>
                <w:color w:val="000000"/>
                <w:sz w:val="14"/>
                <w:szCs w:val="14"/>
              </w:rPr>
            </w:pPr>
            <w:r w:rsidRPr="00F03C4C">
              <w:rPr>
                <w:rFonts w:ascii="Cambria" w:eastAsia="Times New Roman" w:hAnsi="Cambria" w:cs="Times New Roman"/>
                <w:color w:val="000000"/>
                <w:sz w:val="14"/>
                <w:szCs w:val="14"/>
              </w:rPr>
              <w:t>73.3</w:t>
            </w:r>
          </w:p>
        </w:tc>
      </w:tr>
      <w:tr w:rsidR="00DA13BB" w:rsidRPr="00F03C4C" w14:paraId="6DBC61E0" w14:textId="77777777" w:rsidTr="00FE7A42">
        <w:trPr>
          <w:trHeight w:val="244"/>
        </w:trPr>
        <w:tc>
          <w:tcPr>
            <w:tcW w:w="665" w:type="dxa"/>
            <w:shd w:val="clear" w:color="auto" w:fill="auto"/>
            <w:noWrap/>
            <w:vAlign w:val="bottom"/>
            <w:hideMark/>
          </w:tcPr>
          <w:p w14:paraId="4D4F839B" w14:textId="77777777" w:rsidR="00F03C4C" w:rsidRPr="00F03C4C" w:rsidRDefault="00F03C4C" w:rsidP="00F03C4C">
            <w:pPr>
              <w:spacing w:after="0" w:line="240" w:lineRule="auto"/>
              <w:rPr>
                <w:rFonts w:ascii="Cambria" w:eastAsia="Times New Roman" w:hAnsi="Cambria" w:cs="Times New Roman"/>
                <w:color w:val="000000"/>
                <w:sz w:val="14"/>
                <w:szCs w:val="14"/>
              </w:rPr>
            </w:pPr>
            <w:r w:rsidRPr="00F03C4C">
              <w:rPr>
                <w:rFonts w:ascii="Cambria" w:eastAsia="Times New Roman" w:hAnsi="Cambria" w:cs="Times New Roman"/>
                <w:color w:val="000000"/>
                <w:sz w:val="14"/>
                <w:szCs w:val="14"/>
              </w:rPr>
              <w:t>F4</w:t>
            </w:r>
          </w:p>
        </w:tc>
        <w:tc>
          <w:tcPr>
            <w:tcW w:w="562" w:type="dxa"/>
            <w:shd w:val="clear" w:color="auto" w:fill="auto"/>
            <w:noWrap/>
            <w:vAlign w:val="bottom"/>
            <w:hideMark/>
          </w:tcPr>
          <w:p w14:paraId="7E78A4B3" w14:textId="77777777" w:rsidR="00F03C4C" w:rsidRPr="00F03C4C" w:rsidRDefault="00F03C4C" w:rsidP="00F03C4C">
            <w:pPr>
              <w:spacing w:after="0" w:line="240" w:lineRule="auto"/>
              <w:jc w:val="right"/>
              <w:rPr>
                <w:rFonts w:ascii="Cambria" w:eastAsia="Times New Roman" w:hAnsi="Cambria" w:cs="Times New Roman"/>
                <w:color w:val="000000"/>
                <w:sz w:val="14"/>
                <w:szCs w:val="14"/>
              </w:rPr>
            </w:pPr>
            <w:r w:rsidRPr="00F03C4C">
              <w:rPr>
                <w:rFonts w:ascii="Cambria" w:eastAsia="Times New Roman" w:hAnsi="Cambria" w:cs="Times New Roman"/>
                <w:color w:val="000000"/>
                <w:sz w:val="14"/>
                <w:szCs w:val="14"/>
              </w:rPr>
              <w:t>93.3</w:t>
            </w:r>
          </w:p>
        </w:tc>
        <w:tc>
          <w:tcPr>
            <w:tcW w:w="563" w:type="dxa"/>
            <w:shd w:val="clear" w:color="auto" w:fill="auto"/>
            <w:noWrap/>
            <w:vAlign w:val="bottom"/>
            <w:hideMark/>
          </w:tcPr>
          <w:p w14:paraId="75536D98" w14:textId="77777777" w:rsidR="00F03C4C" w:rsidRPr="00F03C4C" w:rsidRDefault="00F03C4C" w:rsidP="00F03C4C">
            <w:pPr>
              <w:spacing w:after="0" w:line="240" w:lineRule="auto"/>
              <w:jc w:val="right"/>
              <w:rPr>
                <w:rFonts w:ascii="Cambria" w:eastAsia="Times New Roman" w:hAnsi="Cambria" w:cs="Times New Roman"/>
                <w:color w:val="000000"/>
                <w:sz w:val="14"/>
                <w:szCs w:val="14"/>
              </w:rPr>
            </w:pPr>
            <w:r w:rsidRPr="00F03C4C">
              <w:rPr>
                <w:rFonts w:ascii="Cambria" w:eastAsia="Times New Roman" w:hAnsi="Cambria" w:cs="Times New Roman"/>
                <w:color w:val="000000"/>
                <w:sz w:val="14"/>
                <w:szCs w:val="14"/>
              </w:rPr>
              <w:t>73.3</w:t>
            </w:r>
          </w:p>
        </w:tc>
        <w:tc>
          <w:tcPr>
            <w:tcW w:w="472" w:type="dxa"/>
            <w:shd w:val="clear" w:color="auto" w:fill="auto"/>
            <w:noWrap/>
            <w:vAlign w:val="bottom"/>
            <w:hideMark/>
          </w:tcPr>
          <w:p w14:paraId="1CA0691D" w14:textId="77777777" w:rsidR="00F03C4C" w:rsidRPr="00F03C4C" w:rsidRDefault="00F03C4C" w:rsidP="00F03C4C">
            <w:pPr>
              <w:spacing w:after="0" w:line="240" w:lineRule="auto"/>
              <w:jc w:val="right"/>
              <w:rPr>
                <w:rFonts w:ascii="Cambria" w:eastAsia="Times New Roman" w:hAnsi="Cambria" w:cs="Times New Roman"/>
                <w:color w:val="000000"/>
                <w:sz w:val="14"/>
                <w:szCs w:val="14"/>
              </w:rPr>
            </w:pPr>
            <w:r w:rsidRPr="00F03C4C">
              <w:rPr>
                <w:rFonts w:ascii="Cambria" w:eastAsia="Times New Roman" w:hAnsi="Cambria" w:cs="Times New Roman"/>
                <w:color w:val="000000"/>
                <w:sz w:val="14"/>
                <w:szCs w:val="14"/>
              </w:rPr>
              <w:t>56.7</w:t>
            </w:r>
          </w:p>
        </w:tc>
        <w:tc>
          <w:tcPr>
            <w:tcW w:w="631" w:type="dxa"/>
            <w:shd w:val="clear" w:color="auto" w:fill="auto"/>
            <w:noWrap/>
            <w:vAlign w:val="bottom"/>
            <w:hideMark/>
          </w:tcPr>
          <w:p w14:paraId="50ED51FB" w14:textId="77777777" w:rsidR="00F03C4C" w:rsidRPr="00F03C4C" w:rsidRDefault="00F03C4C" w:rsidP="00F03C4C">
            <w:pPr>
              <w:spacing w:after="0" w:line="240" w:lineRule="auto"/>
              <w:jc w:val="right"/>
              <w:rPr>
                <w:rFonts w:ascii="Cambria" w:eastAsia="Times New Roman" w:hAnsi="Cambria" w:cs="Times New Roman"/>
                <w:color w:val="000000"/>
                <w:sz w:val="14"/>
                <w:szCs w:val="14"/>
              </w:rPr>
            </w:pPr>
            <w:r w:rsidRPr="00F03C4C">
              <w:rPr>
                <w:rFonts w:ascii="Cambria" w:eastAsia="Times New Roman" w:hAnsi="Cambria" w:cs="Times New Roman"/>
                <w:color w:val="000000"/>
                <w:sz w:val="14"/>
                <w:szCs w:val="14"/>
              </w:rPr>
              <w:t>73.3</w:t>
            </w:r>
          </w:p>
        </w:tc>
        <w:tc>
          <w:tcPr>
            <w:tcW w:w="685" w:type="dxa"/>
            <w:shd w:val="clear" w:color="auto" w:fill="auto"/>
            <w:noWrap/>
            <w:vAlign w:val="bottom"/>
            <w:hideMark/>
          </w:tcPr>
          <w:p w14:paraId="3B6ED8DC" w14:textId="77777777" w:rsidR="00F03C4C" w:rsidRPr="00F03C4C" w:rsidRDefault="00F03C4C" w:rsidP="00F03C4C">
            <w:pPr>
              <w:spacing w:after="0" w:line="240" w:lineRule="auto"/>
              <w:jc w:val="right"/>
              <w:rPr>
                <w:rFonts w:ascii="Cambria" w:eastAsia="Times New Roman" w:hAnsi="Cambria" w:cs="Times New Roman"/>
                <w:color w:val="000000"/>
                <w:sz w:val="14"/>
                <w:szCs w:val="14"/>
              </w:rPr>
            </w:pPr>
            <w:r w:rsidRPr="00F03C4C">
              <w:rPr>
                <w:rFonts w:ascii="Cambria" w:eastAsia="Times New Roman" w:hAnsi="Cambria" w:cs="Times New Roman"/>
                <w:color w:val="000000"/>
                <w:sz w:val="14"/>
                <w:szCs w:val="14"/>
              </w:rPr>
              <w:t>46.7</w:t>
            </w:r>
          </w:p>
        </w:tc>
        <w:tc>
          <w:tcPr>
            <w:tcW w:w="916" w:type="dxa"/>
            <w:shd w:val="clear" w:color="auto" w:fill="auto"/>
            <w:noWrap/>
            <w:vAlign w:val="bottom"/>
            <w:hideMark/>
          </w:tcPr>
          <w:p w14:paraId="26823F1F" w14:textId="77777777" w:rsidR="00F03C4C" w:rsidRPr="00F03C4C" w:rsidRDefault="00F03C4C" w:rsidP="00F03C4C">
            <w:pPr>
              <w:spacing w:after="0" w:line="240" w:lineRule="auto"/>
              <w:jc w:val="right"/>
              <w:rPr>
                <w:rFonts w:ascii="Cambria" w:eastAsia="Times New Roman" w:hAnsi="Cambria" w:cs="Times New Roman"/>
                <w:color w:val="000000"/>
                <w:sz w:val="14"/>
                <w:szCs w:val="14"/>
              </w:rPr>
            </w:pPr>
            <w:r w:rsidRPr="00F03C4C">
              <w:rPr>
                <w:rFonts w:ascii="Cambria" w:eastAsia="Times New Roman" w:hAnsi="Cambria" w:cs="Times New Roman"/>
                <w:color w:val="000000"/>
                <w:sz w:val="14"/>
                <w:szCs w:val="14"/>
              </w:rPr>
              <w:t>68.7</w:t>
            </w:r>
          </w:p>
        </w:tc>
      </w:tr>
    </w:tbl>
    <w:p w14:paraId="6F03B181" w14:textId="77777777" w:rsidR="00F03C4C" w:rsidRPr="00F03C4C" w:rsidRDefault="00F03C4C" w:rsidP="00F03C4C">
      <w:pPr>
        <w:spacing w:after="0" w:line="240" w:lineRule="auto"/>
        <w:rPr>
          <w:rFonts w:ascii="Cambria" w:hAnsi="Cambria" w:cs="Times New Roman"/>
          <w:b/>
          <w:bCs/>
        </w:rPr>
      </w:pPr>
    </w:p>
    <w:p w14:paraId="7BBD87B0" w14:textId="14CF4057" w:rsidR="00F03C4C" w:rsidRPr="00F03C4C" w:rsidRDefault="00F03C4C" w:rsidP="00F03C4C">
      <w:pPr>
        <w:spacing w:after="0" w:line="240" w:lineRule="auto"/>
        <w:rPr>
          <w:rFonts w:ascii="Cambria" w:hAnsi="Cambria" w:cs="Times New Roman"/>
          <w:b/>
          <w:bCs/>
        </w:rPr>
      </w:pPr>
      <w:proofErr w:type="spellStart"/>
      <w:r w:rsidRPr="00F03C4C">
        <w:rPr>
          <w:rFonts w:ascii="Cambria" w:hAnsi="Cambria" w:cs="Times New Roman"/>
          <w:b/>
          <w:bCs/>
        </w:rPr>
        <w:t>Kandungan</w:t>
      </w:r>
      <w:proofErr w:type="spellEnd"/>
      <w:r w:rsidRPr="00F03C4C">
        <w:rPr>
          <w:rFonts w:ascii="Cambria" w:hAnsi="Cambria" w:cs="Times New Roman"/>
          <w:b/>
          <w:bCs/>
        </w:rPr>
        <w:t xml:space="preserve"> Gizi dan </w:t>
      </w:r>
      <w:proofErr w:type="spellStart"/>
      <w:r w:rsidRPr="00F03C4C">
        <w:rPr>
          <w:rFonts w:ascii="Cambria" w:hAnsi="Cambria" w:cs="Times New Roman"/>
          <w:b/>
          <w:bCs/>
        </w:rPr>
        <w:t>Antioksidan</w:t>
      </w:r>
      <w:proofErr w:type="spellEnd"/>
      <w:r w:rsidR="00F44607">
        <w:rPr>
          <w:rFonts w:ascii="Cambria" w:hAnsi="Cambria" w:cs="Times New Roman"/>
          <w:b/>
          <w:bCs/>
        </w:rPr>
        <w:t xml:space="preserve"> </w:t>
      </w:r>
      <w:proofErr w:type="spellStart"/>
      <w:r w:rsidR="00F44607">
        <w:rPr>
          <w:rFonts w:ascii="Cambria" w:hAnsi="Cambria" w:cs="Times New Roman"/>
          <w:b/>
          <w:bCs/>
        </w:rPr>
        <w:t>Biskuit</w:t>
      </w:r>
      <w:proofErr w:type="spellEnd"/>
    </w:p>
    <w:p w14:paraId="6D68DCA0" w14:textId="647027C6" w:rsidR="00AE6C57" w:rsidRPr="00AE6C57" w:rsidRDefault="00F44607" w:rsidP="00F03C4C">
      <w:pPr>
        <w:spacing w:after="0" w:line="240" w:lineRule="auto"/>
        <w:ind w:firstLine="720"/>
        <w:jc w:val="both"/>
        <w:rPr>
          <w:rFonts w:ascii="Cambria" w:hAnsi="Cambria" w:cs="Times New Roman"/>
        </w:rPr>
      </w:pPr>
      <w:proofErr w:type="spellStart"/>
      <w:r>
        <w:rPr>
          <w:rFonts w:ascii="Cambria" w:hAnsi="Cambria" w:cs="Times New Roman"/>
        </w:rPr>
        <w:t>S</w:t>
      </w:r>
      <w:r w:rsidR="00AE6C57" w:rsidRPr="00AE6C57">
        <w:rPr>
          <w:rFonts w:ascii="Cambria" w:hAnsi="Cambria" w:cs="Times New Roman"/>
        </w:rPr>
        <w:t>tandar</w:t>
      </w:r>
      <w:proofErr w:type="spellEnd"/>
      <w:r w:rsidR="00AE6C57" w:rsidRPr="00AE6C57">
        <w:rPr>
          <w:rFonts w:ascii="Cambria" w:hAnsi="Cambria" w:cs="Times New Roman"/>
        </w:rPr>
        <w:t xml:space="preserve"> </w:t>
      </w:r>
      <w:proofErr w:type="spellStart"/>
      <w:r w:rsidR="00AE6C57" w:rsidRPr="00AE6C57">
        <w:rPr>
          <w:rFonts w:ascii="Cambria" w:hAnsi="Cambria" w:cs="Times New Roman"/>
        </w:rPr>
        <w:t>mutu</w:t>
      </w:r>
      <w:proofErr w:type="spellEnd"/>
      <w:r w:rsidR="00AE6C57" w:rsidRPr="00AE6C57">
        <w:rPr>
          <w:rFonts w:ascii="Cambria" w:hAnsi="Cambria" w:cs="Times New Roman"/>
        </w:rPr>
        <w:t xml:space="preserve"> SNI </w:t>
      </w:r>
      <w:proofErr w:type="spellStart"/>
      <w:r w:rsidR="00AE6C57" w:rsidRPr="00AE6C57">
        <w:rPr>
          <w:rFonts w:ascii="Cambria" w:hAnsi="Cambria" w:cs="Times New Roman"/>
        </w:rPr>
        <w:t>biskuit</w:t>
      </w:r>
      <w:proofErr w:type="spellEnd"/>
      <w:r w:rsidR="00AE6C57" w:rsidRPr="00AE6C57">
        <w:rPr>
          <w:rFonts w:ascii="Cambria" w:hAnsi="Cambria" w:cs="Times New Roman"/>
        </w:rPr>
        <w:t xml:space="preserve"> </w:t>
      </w:r>
      <w:proofErr w:type="spellStart"/>
      <w:r w:rsidR="00AE6C57" w:rsidRPr="00AE6C57">
        <w:rPr>
          <w:rFonts w:ascii="Cambria" w:hAnsi="Cambria" w:cs="Times New Roman"/>
        </w:rPr>
        <w:t>diatur</w:t>
      </w:r>
      <w:proofErr w:type="spellEnd"/>
      <w:r w:rsidR="00AE6C57" w:rsidRPr="00AE6C57">
        <w:rPr>
          <w:rFonts w:ascii="Cambria" w:hAnsi="Cambria" w:cs="Times New Roman"/>
        </w:rPr>
        <w:t xml:space="preserve"> </w:t>
      </w:r>
      <w:proofErr w:type="spellStart"/>
      <w:r w:rsidR="00AE6C57" w:rsidRPr="00AE6C57">
        <w:rPr>
          <w:rFonts w:ascii="Cambria" w:hAnsi="Cambria" w:cs="Times New Roman"/>
        </w:rPr>
        <w:t>dalam</w:t>
      </w:r>
      <w:proofErr w:type="spellEnd"/>
      <w:r w:rsidR="00AE6C57" w:rsidRPr="00AE6C57">
        <w:rPr>
          <w:rFonts w:ascii="Cambria" w:hAnsi="Cambria" w:cs="Times New Roman"/>
        </w:rPr>
        <w:t xml:space="preserve"> SNI 2973-2011 yang </w:t>
      </w:r>
      <w:proofErr w:type="spellStart"/>
      <w:r w:rsidR="00AE6C57" w:rsidRPr="00AE6C57">
        <w:rPr>
          <w:rFonts w:ascii="Cambria" w:hAnsi="Cambria" w:cs="Times New Roman"/>
        </w:rPr>
        <w:t>meliputi</w:t>
      </w:r>
      <w:proofErr w:type="spellEnd"/>
      <w:r w:rsidR="00AE6C57" w:rsidRPr="00AE6C57">
        <w:rPr>
          <w:rFonts w:ascii="Cambria" w:hAnsi="Cambria" w:cs="Times New Roman"/>
        </w:rPr>
        <w:t xml:space="preserve"> </w:t>
      </w:r>
      <w:proofErr w:type="spellStart"/>
      <w:r>
        <w:rPr>
          <w:rFonts w:ascii="Cambria" w:hAnsi="Cambria" w:cs="Times New Roman"/>
        </w:rPr>
        <w:t>beberapa</w:t>
      </w:r>
      <w:proofErr w:type="spellEnd"/>
      <w:r>
        <w:rPr>
          <w:rFonts w:ascii="Cambria" w:hAnsi="Cambria" w:cs="Times New Roman"/>
        </w:rPr>
        <w:t xml:space="preserve"> </w:t>
      </w:r>
      <w:proofErr w:type="spellStart"/>
      <w:r>
        <w:rPr>
          <w:rFonts w:ascii="Cambria" w:hAnsi="Cambria" w:cs="Times New Roman"/>
        </w:rPr>
        <w:t>standar</w:t>
      </w:r>
      <w:proofErr w:type="spellEnd"/>
      <w:r>
        <w:rPr>
          <w:rFonts w:ascii="Cambria" w:hAnsi="Cambria" w:cs="Times New Roman"/>
        </w:rPr>
        <w:t xml:space="preserve"> </w:t>
      </w:r>
      <w:proofErr w:type="spellStart"/>
      <w:r>
        <w:rPr>
          <w:rFonts w:ascii="Cambria" w:hAnsi="Cambria" w:cs="Times New Roman"/>
        </w:rPr>
        <w:t>mutu</w:t>
      </w:r>
      <w:proofErr w:type="spellEnd"/>
      <w:r>
        <w:rPr>
          <w:rFonts w:ascii="Cambria" w:hAnsi="Cambria" w:cs="Times New Roman"/>
        </w:rPr>
        <w:t xml:space="preserve"> yang </w:t>
      </w:r>
      <w:proofErr w:type="spellStart"/>
      <w:r>
        <w:rPr>
          <w:rFonts w:ascii="Cambria" w:hAnsi="Cambria" w:cs="Times New Roman"/>
        </w:rPr>
        <w:t>harus</w:t>
      </w:r>
      <w:proofErr w:type="spellEnd"/>
      <w:r>
        <w:rPr>
          <w:rFonts w:ascii="Cambria" w:hAnsi="Cambria" w:cs="Times New Roman"/>
        </w:rPr>
        <w:t xml:space="preserve"> </w:t>
      </w:r>
      <w:proofErr w:type="spellStart"/>
      <w:r>
        <w:rPr>
          <w:rFonts w:ascii="Cambria" w:hAnsi="Cambria" w:cs="Times New Roman"/>
        </w:rPr>
        <w:t>dipenuhi</w:t>
      </w:r>
      <w:proofErr w:type="spellEnd"/>
      <w:r>
        <w:rPr>
          <w:rFonts w:ascii="Cambria" w:hAnsi="Cambria" w:cs="Times New Roman"/>
        </w:rPr>
        <w:t xml:space="preserve"> oleh </w:t>
      </w:r>
      <w:proofErr w:type="spellStart"/>
      <w:r>
        <w:rPr>
          <w:rFonts w:ascii="Cambria" w:hAnsi="Cambria" w:cs="Times New Roman"/>
        </w:rPr>
        <w:t>produsin</w:t>
      </w:r>
      <w:proofErr w:type="spellEnd"/>
      <w:r>
        <w:rPr>
          <w:rFonts w:ascii="Cambria" w:hAnsi="Cambria" w:cs="Times New Roman"/>
        </w:rPr>
        <w:t xml:space="preserve"> biscuit, </w:t>
      </w:r>
      <w:proofErr w:type="spellStart"/>
      <w:r>
        <w:rPr>
          <w:rFonts w:ascii="Cambria" w:hAnsi="Cambria" w:cs="Times New Roman"/>
        </w:rPr>
        <w:t>yaitu</w:t>
      </w:r>
      <w:proofErr w:type="spellEnd"/>
      <w:r>
        <w:rPr>
          <w:rFonts w:ascii="Cambria" w:hAnsi="Cambria" w:cs="Times New Roman"/>
        </w:rPr>
        <w:t xml:space="preserve"> </w:t>
      </w:r>
      <w:proofErr w:type="spellStart"/>
      <w:r>
        <w:rPr>
          <w:rFonts w:ascii="Cambria" w:hAnsi="Cambria" w:cs="Times New Roman"/>
        </w:rPr>
        <w:t>mencakup</w:t>
      </w:r>
      <w:proofErr w:type="spellEnd"/>
      <w:r>
        <w:rPr>
          <w:rFonts w:ascii="Cambria" w:hAnsi="Cambria" w:cs="Times New Roman"/>
        </w:rPr>
        <w:t xml:space="preserve"> </w:t>
      </w:r>
      <w:proofErr w:type="spellStart"/>
      <w:r w:rsidR="00AE6C57" w:rsidRPr="00AE6C57">
        <w:rPr>
          <w:rFonts w:ascii="Cambria" w:hAnsi="Cambria" w:cs="Times New Roman"/>
        </w:rPr>
        <w:t>k</w:t>
      </w:r>
      <w:r>
        <w:rPr>
          <w:rFonts w:ascii="Cambria" w:hAnsi="Cambria" w:cs="Times New Roman"/>
        </w:rPr>
        <w:t>arakteristik</w:t>
      </w:r>
      <w:proofErr w:type="spellEnd"/>
      <w:r>
        <w:rPr>
          <w:rFonts w:ascii="Cambria" w:hAnsi="Cambria" w:cs="Times New Roman"/>
        </w:rPr>
        <w:t xml:space="preserve"> </w:t>
      </w:r>
      <w:proofErr w:type="spellStart"/>
      <w:r>
        <w:rPr>
          <w:rFonts w:ascii="Cambria" w:hAnsi="Cambria" w:cs="Times New Roman"/>
        </w:rPr>
        <w:t>fisik</w:t>
      </w:r>
      <w:proofErr w:type="spellEnd"/>
      <w:r>
        <w:rPr>
          <w:rFonts w:ascii="Cambria" w:hAnsi="Cambria" w:cs="Times New Roman"/>
        </w:rPr>
        <w:t xml:space="preserve"> </w:t>
      </w:r>
      <w:proofErr w:type="spellStart"/>
      <w:r>
        <w:rPr>
          <w:rFonts w:ascii="Cambria" w:hAnsi="Cambria" w:cs="Times New Roman"/>
        </w:rPr>
        <w:t>biskuit</w:t>
      </w:r>
      <w:proofErr w:type="spellEnd"/>
      <w:r w:rsidR="00AE6C57" w:rsidRPr="00AE6C57">
        <w:rPr>
          <w:rFonts w:ascii="Cambria" w:hAnsi="Cambria" w:cs="Times New Roman"/>
        </w:rPr>
        <w:t xml:space="preserve"> (</w:t>
      </w:r>
      <w:proofErr w:type="spellStart"/>
      <w:r w:rsidR="00AE6C57" w:rsidRPr="00AE6C57">
        <w:rPr>
          <w:rFonts w:ascii="Cambria" w:hAnsi="Cambria" w:cs="Times New Roman"/>
        </w:rPr>
        <w:t>bau</w:t>
      </w:r>
      <w:proofErr w:type="spellEnd"/>
      <w:r w:rsidR="00AE6C57" w:rsidRPr="00AE6C57">
        <w:rPr>
          <w:rFonts w:ascii="Cambria" w:hAnsi="Cambria" w:cs="Times New Roman"/>
        </w:rPr>
        <w:t xml:space="preserve">, rasa, </w:t>
      </w:r>
      <w:proofErr w:type="spellStart"/>
      <w:r w:rsidR="00AE6C57" w:rsidRPr="00AE6C57">
        <w:rPr>
          <w:rFonts w:ascii="Cambria" w:hAnsi="Cambria" w:cs="Times New Roman"/>
        </w:rPr>
        <w:t>warna</w:t>
      </w:r>
      <w:proofErr w:type="spellEnd"/>
      <w:r w:rsidR="00AE6C57" w:rsidRPr="00AE6C57">
        <w:rPr>
          <w:rFonts w:ascii="Cambria" w:hAnsi="Cambria" w:cs="Times New Roman"/>
        </w:rPr>
        <w:t xml:space="preserve">), </w:t>
      </w:r>
      <w:proofErr w:type="spellStart"/>
      <w:r w:rsidR="00AE6C57" w:rsidRPr="00AE6C57">
        <w:rPr>
          <w:rFonts w:ascii="Cambria" w:hAnsi="Cambria" w:cs="Times New Roman"/>
        </w:rPr>
        <w:t>kadar</w:t>
      </w:r>
      <w:proofErr w:type="spellEnd"/>
      <w:r w:rsidR="00AE6C57" w:rsidRPr="00AE6C57">
        <w:rPr>
          <w:rFonts w:ascii="Cambria" w:hAnsi="Cambria" w:cs="Times New Roman"/>
        </w:rPr>
        <w:t xml:space="preserve"> air, </w:t>
      </w:r>
      <w:proofErr w:type="spellStart"/>
      <w:r w:rsidR="00730FE4">
        <w:rPr>
          <w:rFonts w:ascii="Cambria" w:hAnsi="Cambria" w:cs="Times New Roman"/>
        </w:rPr>
        <w:t>kandungan</w:t>
      </w:r>
      <w:proofErr w:type="spellEnd"/>
      <w:r w:rsidR="00730FE4">
        <w:rPr>
          <w:rFonts w:ascii="Cambria" w:hAnsi="Cambria" w:cs="Times New Roman"/>
        </w:rPr>
        <w:t xml:space="preserve"> </w:t>
      </w:r>
      <w:r w:rsidR="00AE6C57" w:rsidRPr="00AE6C57">
        <w:rPr>
          <w:rFonts w:ascii="Cambria" w:hAnsi="Cambria" w:cs="Times New Roman"/>
        </w:rPr>
        <w:t xml:space="preserve">protein, </w:t>
      </w:r>
      <w:proofErr w:type="spellStart"/>
      <w:r w:rsidR="00AE6C57" w:rsidRPr="00AE6C57">
        <w:rPr>
          <w:rFonts w:ascii="Cambria" w:hAnsi="Cambria" w:cs="Times New Roman"/>
        </w:rPr>
        <w:t>kandungan</w:t>
      </w:r>
      <w:proofErr w:type="spellEnd"/>
      <w:r w:rsidR="00AE6C57" w:rsidRPr="00AE6C57">
        <w:rPr>
          <w:rFonts w:ascii="Cambria" w:hAnsi="Cambria" w:cs="Times New Roman"/>
        </w:rPr>
        <w:t xml:space="preserve"> </w:t>
      </w:r>
      <w:proofErr w:type="spellStart"/>
      <w:r w:rsidR="00AE6C57" w:rsidRPr="00AE6C57">
        <w:rPr>
          <w:rFonts w:ascii="Cambria" w:hAnsi="Cambria" w:cs="Times New Roman"/>
        </w:rPr>
        <w:t>logam</w:t>
      </w:r>
      <w:proofErr w:type="spellEnd"/>
      <w:r w:rsidR="00AE6C57" w:rsidRPr="00AE6C57">
        <w:rPr>
          <w:rFonts w:ascii="Cambria" w:hAnsi="Cambria" w:cs="Times New Roman"/>
        </w:rPr>
        <w:t xml:space="preserve"> dan </w:t>
      </w:r>
      <w:proofErr w:type="spellStart"/>
      <w:r w:rsidR="00AE6C57" w:rsidRPr="00AE6C57">
        <w:rPr>
          <w:rFonts w:ascii="Cambria" w:hAnsi="Cambria" w:cs="Times New Roman"/>
        </w:rPr>
        <w:t>kandungan</w:t>
      </w:r>
      <w:proofErr w:type="spellEnd"/>
      <w:r w:rsidR="00AE6C57" w:rsidRPr="00AE6C57">
        <w:rPr>
          <w:rFonts w:ascii="Cambria" w:hAnsi="Cambria" w:cs="Times New Roman"/>
        </w:rPr>
        <w:t xml:space="preserve"> </w:t>
      </w:r>
      <w:proofErr w:type="spellStart"/>
      <w:r w:rsidR="00AE6C57" w:rsidRPr="00AE6C57">
        <w:rPr>
          <w:rFonts w:ascii="Cambria" w:hAnsi="Cambria" w:cs="Times New Roman"/>
        </w:rPr>
        <w:t>mikroba</w:t>
      </w:r>
      <w:proofErr w:type="spellEnd"/>
      <w:r w:rsidR="00730FE4">
        <w:rPr>
          <w:rFonts w:ascii="Cambria" w:hAnsi="Cambria" w:cs="Times New Roman"/>
        </w:rPr>
        <w:t>.</w:t>
      </w:r>
    </w:p>
    <w:p w14:paraId="310B6572" w14:textId="468A4163" w:rsidR="00F03C4C" w:rsidRDefault="00F03C4C" w:rsidP="00F03C4C">
      <w:pPr>
        <w:spacing w:after="0" w:line="240" w:lineRule="auto"/>
        <w:ind w:firstLine="720"/>
        <w:jc w:val="both"/>
        <w:rPr>
          <w:rFonts w:ascii="Cambria" w:hAnsi="Cambria" w:cs="Times New Roman"/>
        </w:rPr>
      </w:pPr>
      <w:r w:rsidRPr="00F03C4C">
        <w:rPr>
          <w:rFonts w:ascii="Cambria" w:hAnsi="Cambria" w:cs="Times New Roman"/>
        </w:rPr>
        <w:t xml:space="preserve">Uji </w:t>
      </w:r>
      <w:proofErr w:type="spellStart"/>
      <w:r w:rsidRPr="00F03C4C">
        <w:rPr>
          <w:rFonts w:ascii="Cambria" w:hAnsi="Cambria" w:cs="Times New Roman"/>
        </w:rPr>
        <w:t>kandungan</w:t>
      </w:r>
      <w:proofErr w:type="spellEnd"/>
      <w:r w:rsidRPr="00F03C4C">
        <w:rPr>
          <w:rFonts w:ascii="Cambria" w:hAnsi="Cambria" w:cs="Times New Roman"/>
        </w:rPr>
        <w:t xml:space="preserve"> </w:t>
      </w:r>
      <w:proofErr w:type="spellStart"/>
      <w:r w:rsidRPr="00F03C4C">
        <w:rPr>
          <w:rFonts w:ascii="Cambria" w:hAnsi="Cambria" w:cs="Times New Roman"/>
        </w:rPr>
        <w:t>gizi</w:t>
      </w:r>
      <w:proofErr w:type="spellEnd"/>
      <w:r w:rsidRPr="00F03C4C">
        <w:rPr>
          <w:rFonts w:ascii="Cambria" w:hAnsi="Cambria" w:cs="Times New Roman"/>
        </w:rPr>
        <w:t xml:space="preserve"> dan </w:t>
      </w:r>
      <w:proofErr w:type="spellStart"/>
      <w:r w:rsidRPr="00F03C4C">
        <w:rPr>
          <w:rFonts w:ascii="Cambria" w:hAnsi="Cambria" w:cs="Times New Roman"/>
        </w:rPr>
        <w:t>antioksidan</w:t>
      </w:r>
      <w:proofErr w:type="spellEnd"/>
      <w:r w:rsidRPr="00F03C4C">
        <w:rPr>
          <w:rFonts w:ascii="Cambria" w:hAnsi="Cambria" w:cs="Times New Roman"/>
        </w:rPr>
        <w:t xml:space="preserve"> </w:t>
      </w:r>
      <w:proofErr w:type="spellStart"/>
      <w:r w:rsidRPr="00F03C4C">
        <w:rPr>
          <w:rFonts w:ascii="Cambria" w:hAnsi="Cambria" w:cs="Times New Roman"/>
        </w:rPr>
        <w:t>dilakukan</w:t>
      </w:r>
      <w:proofErr w:type="spellEnd"/>
      <w:r w:rsidRPr="00F03C4C">
        <w:rPr>
          <w:rFonts w:ascii="Cambria" w:hAnsi="Cambria" w:cs="Times New Roman"/>
        </w:rPr>
        <w:t xml:space="preserve"> pada formula </w:t>
      </w:r>
      <w:proofErr w:type="spellStart"/>
      <w:r w:rsidRPr="00F03C4C">
        <w:rPr>
          <w:rFonts w:ascii="Cambria" w:hAnsi="Cambria" w:cs="Times New Roman"/>
        </w:rPr>
        <w:t>terpilih</w:t>
      </w:r>
      <w:proofErr w:type="spellEnd"/>
      <w:r w:rsidRPr="00F03C4C">
        <w:rPr>
          <w:rFonts w:ascii="Cambria" w:hAnsi="Cambria" w:cs="Times New Roman"/>
        </w:rPr>
        <w:t xml:space="preserve">, </w:t>
      </w:r>
      <w:proofErr w:type="spellStart"/>
      <w:r w:rsidRPr="00F03C4C">
        <w:rPr>
          <w:rFonts w:ascii="Cambria" w:hAnsi="Cambria" w:cs="Times New Roman"/>
        </w:rPr>
        <w:t>yaitu</w:t>
      </w:r>
      <w:proofErr w:type="spellEnd"/>
      <w:r w:rsidRPr="00F03C4C">
        <w:rPr>
          <w:rFonts w:ascii="Cambria" w:hAnsi="Cambria" w:cs="Times New Roman"/>
        </w:rPr>
        <w:t xml:space="preserve"> F2. </w:t>
      </w:r>
      <w:proofErr w:type="spellStart"/>
      <w:r w:rsidRPr="00F03C4C">
        <w:rPr>
          <w:rFonts w:ascii="Cambria" w:hAnsi="Cambria" w:cs="Times New Roman"/>
        </w:rPr>
        <w:t>Variabel</w:t>
      </w:r>
      <w:proofErr w:type="spellEnd"/>
      <w:r w:rsidRPr="00F03C4C">
        <w:rPr>
          <w:rFonts w:ascii="Cambria" w:hAnsi="Cambria" w:cs="Times New Roman"/>
        </w:rPr>
        <w:t xml:space="preserve"> yang </w:t>
      </w:r>
      <w:proofErr w:type="spellStart"/>
      <w:r w:rsidRPr="00F03C4C">
        <w:rPr>
          <w:rFonts w:ascii="Cambria" w:hAnsi="Cambria" w:cs="Times New Roman"/>
        </w:rPr>
        <w:t>diuji</w:t>
      </w:r>
      <w:proofErr w:type="spellEnd"/>
      <w:r w:rsidRPr="00F03C4C">
        <w:rPr>
          <w:rFonts w:ascii="Cambria" w:hAnsi="Cambria" w:cs="Times New Roman"/>
        </w:rPr>
        <w:t xml:space="preserve"> </w:t>
      </w:r>
      <w:proofErr w:type="spellStart"/>
      <w:r w:rsidRPr="00F03C4C">
        <w:rPr>
          <w:rFonts w:ascii="Cambria" w:hAnsi="Cambria" w:cs="Times New Roman"/>
        </w:rPr>
        <w:t>untuk</w:t>
      </w:r>
      <w:proofErr w:type="spellEnd"/>
      <w:r w:rsidRPr="00F03C4C">
        <w:rPr>
          <w:rFonts w:ascii="Cambria" w:hAnsi="Cambria" w:cs="Times New Roman"/>
        </w:rPr>
        <w:t xml:space="preserve"> </w:t>
      </w:r>
      <w:proofErr w:type="spellStart"/>
      <w:r w:rsidRPr="00F03C4C">
        <w:rPr>
          <w:rFonts w:ascii="Cambria" w:hAnsi="Cambria" w:cs="Times New Roman"/>
        </w:rPr>
        <w:t>kandungan</w:t>
      </w:r>
      <w:proofErr w:type="spellEnd"/>
      <w:r w:rsidRPr="00F03C4C">
        <w:rPr>
          <w:rFonts w:ascii="Cambria" w:hAnsi="Cambria" w:cs="Times New Roman"/>
        </w:rPr>
        <w:t xml:space="preserve"> </w:t>
      </w:r>
      <w:proofErr w:type="spellStart"/>
      <w:r w:rsidRPr="00F03C4C">
        <w:rPr>
          <w:rFonts w:ascii="Cambria" w:hAnsi="Cambria" w:cs="Times New Roman"/>
        </w:rPr>
        <w:t>gizi</w:t>
      </w:r>
      <w:proofErr w:type="spellEnd"/>
      <w:r w:rsidRPr="00F03C4C">
        <w:rPr>
          <w:rFonts w:ascii="Cambria" w:hAnsi="Cambria" w:cs="Times New Roman"/>
        </w:rPr>
        <w:t xml:space="preserve"> </w:t>
      </w:r>
      <w:proofErr w:type="spellStart"/>
      <w:proofErr w:type="gramStart"/>
      <w:r w:rsidR="00F44607">
        <w:rPr>
          <w:rFonts w:ascii="Cambria" w:hAnsi="Cambria" w:cs="Times New Roman"/>
        </w:rPr>
        <w:t>adalah</w:t>
      </w:r>
      <w:proofErr w:type="spellEnd"/>
      <w:r w:rsidR="00F44607">
        <w:rPr>
          <w:rFonts w:ascii="Cambria" w:hAnsi="Cambria" w:cs="Times New Roman"/>
        </w:rPr>
        <w:t xml:space="preserve"> </w:t>
      </w:r>
      <w:r w:rsidRPr="00F03C4C">
        <w:rPr>
          <w:rFonts w:ascii="Cambria" w:hAnsi="Cambria" w:cs="Times New Roman"/>
        </w:rPr>
        <w:t xml:space="preserve"> </w:t>
      </w:r>
      <w:proofErr w:type="spellStart"/>
      <w:r w:rsidRPr="00F03C4C">
        <w:rPr>
          <w:rFonts w:ascii="Cambria" w:hAnsi="Cambria" w:cs="Times New Roman"/>
        </w:rPr>
        <w:t>kadar</w:t>
      </w:r>
      <w:proofErr w:type="spellEnd"/>
      <w:proofErr w:type="gramEnd"/>
      <w:r w:rsidRPr="00F03C4C">
        <w:rPr>
          <w:rFonts w:ascii="Cambria" w:hAnsi="Cambria" w:cs="Times New Roman"/>
        </w:rPr>
        <w:t xml:space="preserve"> air, protein, lemak, </w:t>
      </w:r>
      <w:proofErr w:type="spellStart"/>
      <w:r w:rsidRPr="00F03C4C">
        <w:rPr>
          <w:rFonts w:ascii="Cambria" w:hAnsi="Cambria" w:cs="Times New Roman"/>
        </w:rPr>
        <w:t>kadar</w:t>
      </w:r>
      <w:proofErr w:type="spellEnd"/>
      <w:r w:rsidRPr="00F03C4C">
        <w:rPr>
          <w:rFonts w:ascii="Cambria" w:hAnsi="Cambria" w:cs="Times New Roman"/>
        </w:rPr>
        <w:t xml:space="preserve"> </w:t>
      </w:r>
      <w:proofErr w:type="spellStart"/>
      <w:r w:rsidRPr="00F03C4C">
        <w:rPr>
          <w:rFonts w:ascii="Cambria" w:hAnsi="Cambria" w:cs="Times New Roman"/>
        </w:rPr>
        <w:t>abu</w:t>
      </w:r>
      <w:proofErr w:type="spellEnd"/>
      <w:r w:rsidRPr="00F03C4C">
        <w:rPr>
          <w:rFonts w:ascii="Cambria" w:hAnsi="Cambria" w:cs="Times New Roman"/>
        </w:rPr>
        <w:t xml:space="preserve">, </w:t>
      </w:r>
      <w:proofErr w:type="spellStart"/>
      <w:r w:rsidRPr="00F03C4C">
        <w:rPr>
          <w:rFonts w:ascii="Cambria" w:hAnsi="Cambria" w:cs="Times New Roman"/>
        </w:rPr>
        <w:t>serat</w:t>
      </w:r>
      <w:proofErr w:type="spellEnd"/>
      <w:r w:rsidRPr="00F03C4C">
        <w:rPr>
          <w:rFonts w:ascii="Cambria" w:hAnsi="Cambria" w:cs="Times New Roman"/>
        </w:rPr>
        <w:t xml:space="preserve"> </w:t>
      </w:r>
      <w:proofErr w:type="spellStart"/>
      <w:r w:rsidRPr="00F03C4C">
        <w:rPr>
          <w:rFonts w:ascii="Cambria" w:hAnsi="Cambria" w:cs="Times New Roman"/>
        </w:rPr>
        <w:t>kasar</w:t>
      </w:r>
      <w:proofErr w:type="spellEnd"/>
      <w:r w:rsidRPr="00F03C4C">
        <w:rPr>
          <w:rFonts w:ascii="Cambria" w:hAnsi="Cambria" w:cs="Times New Roman"/>
        </w:rPr>
        <w:t xml:space="preserve">, </w:t>
      </w:r>
      <w:proofErr w:type="spellStart"/>
      <w:r w:rsidRPr="00F03C4C">
        <w:rPr>
          <w:rFonts w:ascii="Cambria" w:hAnsi="Cambria" w:cs="Times New Roman"/>
        </w:rPr>
        <w:t>karbohidrat</w:t>
      </w:r>
      <w:proofErr w:type="spellEnd"/>
      <w:r w:rsidRPr="00F03C4C">
        <w:rPr>
          <w:rFonts w:ascii="Cambria" w:hAnsi="Cambria" w:cs="Times New Roman"/>
        </w:rPr>
        <w:t xml:space="preserve">, </w:t>
      </w:r>
      <w:proofErr w:type="spellStart"/>
      <w:r w:rsidRPr="00F03C4C">
        <w:rPr>
          <w:rFonts w:ascii="Cambria" w:hAnsi="Cambria" w:cs="Times New Roman"/>
        </w:rPr>
        <w:t>energi</w:t>
      </w:r>
      <w:proofErr w:type="spellEnd"/>
      <w:r w:rsidRPr="00F03C4C">
        <w:rPr>
          <w:rFonts w:ascii="Cambria" w:hAnsi="Cambria" w:cs="Times New Roman"/>
        </w:rPr>
        <w:t xml:space="preserve"> per 100g dan </w:t>
      </w:r>
      <w:proofErr w:type="spellStart"/>
      <w:r w:rsidRPr="00F03C4C">
        <w:rPr>
          <w:rFonts w:ascii="Cambria" w:hAnsi="Cambria" w:cs="Times New Roman"/>
        </w:rPr>
        <w:t>antioksidan</w:t>
      </w:r>
      <w:proofErr w:type="spellEnd"/>
      <w:r w:rsidRPr="00F03C4C">
        <w:rPr>
          <w:rFonts w:ascii="Cambria" w:hAnsi="Cambria" w:cs="Times New Roman"/>
        </w:rPr>
        <w:t xml:space="preserve"> per 100g. </w:t>
      </w:r>
      <w:r>
        <w:rPr>
          <w:rFonts w:ascii="Cambria" w:hAnsi="Cambria" w:cs="Times New Roman"/>
        </w:rPr>
        <w:t xml:space="preserve"> </w:t>
      </w:r>
      <w:r w:rsidRPr="00F03C4C">
        <w:rPr>
          <w:rFonts w:ascii="Cambria" w:hAnsi="Cambria" w:cs="Times New Roman"/>
        </w:rPr>
        <w:t xml:space="preserve">Tabel 5 </w:t>
      </w:r>
      <w:proofErr w:type="spellStart"/>
      <w:r w:rsidRPr="00F03C4C">
        <w:rPr>
          <w:rFonts w:ascii="Cambria" w:hAnsi="Cambria" w:cs="Times New Roman"/>
        </w:rPr>
        <w:t>menunjukkan</w:t>
      </w:r>
      <w:proofErr w:type="spellEnd"/>
      <w:r w:rsidRPr="00F03C4C">
        <w:rPr>
          <w:rFonts w:ascii="Cambria" w:hAnsi="Cambria" w:cs="Times New Roman"/>
        </w:rPr>
        <w:t xml:space="preserve"> </w:t>
      </w:r>
      <w:proofErr w:type="spellStart"/>
      <w:r w:rsidRPr="00F03C4C">
        <w:rPr>
          <w:rFonts w:ascii="Cambria" w:hAnsi="Cambria" w:cs="Times New Roman"/>
        </w:rPr>
        <w:t>hasil</w:t>
      </w:r>
      <w:proofErr w:type="spellEnd"/>
      <w:r w:rsidRPr="00F03C4C">
        <w:rPr>
          <w:rFonts w:ascii="Cambria" w:hAnsi="Cambria" w:cs="Times New Roman"/>
        </w:rPr>
        <w:t xml:space="preserve"> uji </w:t>
      </w:r>
      <w:proofErr w:type="spellStart"/>
      <w:r w:rsidR="00F44607">
        <w:rPr>
          <w:rFonts w:ascii="Cambria" w:hAnsi="Cambria" w:cs="Times New Roman"/>
        </w:rPr>
        <w:t>kandungan</w:t>
      </w:r>
      <w:proofErr w:type="spellEnd"/>
      <w:r w:rsidR="00F44607">
        <w:rPr>
          <w:rFonts w:ascii="Cambria" w:hAnsi="Cambria" w:cs="Times New Roman"/>
        </w:rPr>
        <w:t xml:space="preserve"> </w:t>
      </w:r>
      <w:proofErr w:type="spellStart"/>
      <w:r w:rsidR="00F44607">
        <w:rPr>
          <w:rFonts w:ascii="Cambria" w:hAnsi="Cambria" w:cs="Times New Roman"/>
        </w:rPr>
        <w:t>gizi</w:t>
      </w:r>
      <w:proofErr w:type="spellEnd"/>
      <w:r w:rsidRPr="00F03C4C">
        <w:rPr>
          <w:rFonts w:ascii="Cambria" w:hAnsi="Cambria" w:cs="Times New Roman"/>
        </w:rPr>
        <w:t xml:space="preserve"> dan </w:t>
      </w:r>
      <w:proofErr w:type="spellStart"/>
      <w:r w:rsidRPr="00F03C4C">
        <w:rPr>
          <w:rFonts w:ascii="Cambria" w:hAnsi="Cambria" w:cs="Times New Roman"/>
        </w:rPr>
        <w:t>antioksidan</w:t>
      </w:r>
      <w:proofErr w:type="spellEnd"/>
      <w:r w:rsidRPr="00F03C4C">
        <w:rPr>
          <w:rFonts w:ascii="Cambria" w:hAnsi="Cambria" w:cs="Times New Roman"/>
        </w:rPr>
        <w:t xml:space="preserve"> </w:t>
      </w:r>
      <w:proofErr w:type="spellStart"/>
      <w:r w:rsidRPr="00F03C4C">
        <w:rPr>
          <w:rFonts w:ascii="Cambria" w:hAnsi="Cambria" w:cs="Times New Roman"/>
        </w:rPr>
        <w:t>biskuit</w:t>
      </w:r>
      <w:proofErr w:type="spellEnd"/>
      <w:r w:rsidRPr="00F03C4C">
        <w:rPr>
          <w:rFonts w:ascii="Cambria" w:hAnsi="Cambria" w:cs="Times New Roman"/>
        </w:rPr>
        <w:t xml:space="preserve"> </w:t>
      </w:r>
      <w:proofErr w:type="spellStart"/>
      <w:r w:rsidRPr="00F03C4C">
        <w:rPr>
          <w:rFonts w:ascii="Cambria" w:hAnsi="Cambria" w:cs="Times New Roman"/>
        </w:rPr>
        <w:t>rempah</w:t>
      </w:r>
      <w:proofErr w:type="spellEnd"/>
      <w:r w:rsidRPr="00F03C4C">
        <w:rPr>
          <w:rFonts w:ascii="Cambria" w:hAnsi="Cambria" w:cs="Times New Roman"/>
        </w:rPr>
        <w:t xml:space="preserve">. </w:t>
      </w:r>
    </w:p>
    <w:p w14:paraId="20568BA8" w14:textId="77777777" w:rsidR="00F03C4C" w:rsidRPr="00F03C4C" w:rsidRDefault="00F03C4C" w:rsidP="00F03C4C">
      <w:pPr>
        <w:spacing w:after="0" w:line="240" w:lineRule="auto"/>
        <w:ind w:firstLine="720"/>
        <w:jc w:val="both"/>
        <w:rPr>
          <w:rFonts w:ascii="Cambria" w:hAnsi="Cambria" w:cs="Times New Roman"/>
        </w:rPr>
      </w:pPr>
    </w:p>
    <w:p w14:paraId="1D3F9FA8" w14:textId="5D85085C" w:rsidR="00F03C4C" w:rsidRPr="00F03C4C" w:rsidRDefault="00F03C4C" w:rsidP="00F03C4C">
      <w:pPr>
        <w:spacing w:after="0" w:line="240" w:lineRule="auto"/>
        <w:rPr>
          <w:rFonts w:ascii="Cambria" w:hAnsi="Cambria" w:cs="Times New Roman"/>
        </w:rPr>
      </w:pPr>
      <w:r w:rsidRPr="00F03C4C">
        <w:rPr>
          <w:rFonts w:ascii="Cambria" w:hAnsi="Cambria" w:cs="Times New Roman"/>
        </w:rPr>
        <w:t xml:space="preserve">Tabel 5. Hasil uji </w:t>
      </w:r>
      <w:proofErr w:type="spellStart"/>
      <w:r w:rsidR="00F44607">
        <w:rPr>
          <w:rFonts w:ascii="Cambria" w:hAnsi="Cambria" w:cs="Times New Roman"/>
        </w:rPr>
        <w:t>kandungan</w:t>
      </w:r>
      <w:proofErr w:type="spellEnd"/>
      <w:r w:rsidR="00F44607">
        <w:rPr>
          <w:rFonts w:ascii="Cambria" w:hAnsi="Cambria" w:cs="Times New Roman"/>
        </w:rPr>
        <w:t xml:space="preserve"> </w:t>
      </w:r>
      <w:proofErr w:type="spellStart"/>
      <w:r w:rsidR="00F44607">
        <w:rPr>
          <w:rFonts w:ascii="Cambria" w:hAnsi="Cambria" w:cs="Times New Roman"/>
        </w:rPr>
        <w:t>gizi</w:t>
      </w:r>
      <w:proofErr w:type="spellEnd"/>
      <w:r w:rsidRPr="00F03C4C">
        <w:rPr>
          <w:rFonts w:ascii="Cambria" w:hAnsi="Cambria" w:cs="Times New Roman"/>
        </w:rPr>
        <w:t xml:space="preserve"> dan </w:t>
      </w:r>
      <w:proofErr w:type="spellStart"/>
      <w:r w:rsidRPr="00F03C4C">
        <w:rPr>
          <w:rFonts w:ascii="Cambria" w:hAnsi="Cambria" w:cs="Times New Roman"/>
        </w:rPr>
        <w:t>antioksidan</w:t>
      </w:r>
      <w:proofErr w:type="spellEnd"/>
      <w:r w:rsidRPr="00F03C4C">
        <w:rPr>
          <w:rFonts w:ascii="Cambria" w:hAnsi="Cambria" w:cs="Times New Roman"/>
        </w:rPr>
        <w:t xml:space="preserve"> </w:t>
      </w:r>
      <w:proofErr w:type="spellStart"/>
      <w:r w:rsidR="0063512D">
        <w:rPr>
          <w:rFonts w:ascii="Cambria" w:hAnsi="Cambria" w:cs="Times New Roman"/>
        </w:rPr>
        <w:t>biskuit</w:t>
      </w:r>
      <w:proofErr w:type="spellEnd"/>
      <w:r w:rsidRPr="00F03C4C">
        <w:rPr>
          <w:rFonts w:ascii="Cambria" w:hAnsi="Cambria" w:cs="Times New Roman"/>
        </w:rPr>
        <w:t xml:space="preserve"> </w:t>
      </w:r>
      <w:proofErr w:type="spellStart"/>
      <w:r w:rsidRPr="00F03C4C">
        <w:rPr>
          <w:rFonts w:ascii="Cambria" w:hAnsi="Cambria" w:cs="Times New Roman"/>
        </w:rPr>
        <w:t>rempah</w:t>
      </w:r>
      <w:proofErr w:type="spellEnd"/>
      <w:r w:rsidR="001C36E3">
        <w:rPr>
          <w:rFonts w:ascii="Cambria" w:hAnsi="Cambria" w:cs="Times New Roman"/>
        </w:rPr>
        <w:t xml:space="preserve"> </w:t>
      </w:r>
      <w:proofErr w:type="spellStart"/>
      <w:r w:rsidR="001C36E3">
        <w:rPr>
          <w:rFonts w:ascii="Cambria" w:hAnsi="Cambria" w:cs="Times New Roman"/>
        </w:rPr>
        <w:t>terpilih</w:t>
      </w:r>
      <w:proofErr w:type="spellEnd"/>
      <w:r w:rsidR="001C36E3">
        <w:rPr>
          <w:rFonts w:ascii="Cambria" w:hAnsi="Cambria" w:cs="Times New Roman"/>
        </w:rPr>
        <w:t xml:space="preserve"> (</w:t>
      </w:r>
      <w:commentRangeStart w:id="19"/>
      <w:r w:rsidR="001C36E3">
        <w:rPr>
          <w:rFonts w:ascii="Cambria" w:hAnsi="Cambria" w:cs="Times New Roman"/>
        </w:rPr>
        <w:t>F2</w:t>
      </w:r>
      <w:commentRangeEnd w:id="19"/>
      <w:r w:rsidR="005259FA">
        <w:rPr>
          <w:rStyle w:val="CommentReference"/>
        </w:rPr>
        <w:commentReference w:id="19"/>
      </w:r>
      <w:r w:rsidR="001C36E3">
        <w:rPr>
          <w:rFonts w:ascii="Cambria" w:hAnsi="Cambria" w:cs="Times New Roman"/>
        </w:rPr>
        <w:t>)</w:t>
      </w:r>
    </w:p>
    <w:tbl>
      <w:tblPr>
        <w:tblW w:w="4531" w:type="dxa"/>
        <w:tblBorders>
          <w:top w:val="single" w:sz="4" w:space="0" w:color="auto"/>
          <w:bottom w:val="single" w:sz="4" w:space="0" w:color="auto"/>
        </w:tblBorders>
        <w:tblLook w:val="04A0" w:firstRow="1" w:lastRow="0" w:firstColumn="1" w:lastColumn="0" w:noHBand="0" w:noVBand="1"/>
      </w:tblPr>
      <w:tblGrid>
        <w:gridCol w:w="1980"/>
        <w:gridCol w:w="992"/>
        <w:gridCol w:w="1559"/>
      </w:tblGrid>
      <w:tr w:rsidR="001C2FE5" w:rsidRPr="00F03C4C" w14:paraId="6E5D7D5B" w14:textId="77777777" w:rsidTr="00FE7A42">
        <w:trPr>
          <w:trHeight w:val="262"/>
        </w:trPr>
        <w:tc>
          <w:tcPr>
            <w:tcW w:w="1980" w:type="dxa"/>
            <w:tcBorders>
              <w:top w:val="single" w:sz="4" w:space="0" w:color="auto"/>
              <w:bottom w:val="single" w:sz="4" w:space="0" w:color="auto"/>
            </w:tcBorders>
            <w:shd w:val="clear" w:color="auto" w:fill="auto"/>
            <w:noWrap/>
            <w:vAlign w:val="bottom"/>
            <w:hideMark/>
          </w:tcPr>
          <w:p w14:paraId="2CDCB052" w14:textId="77777777" w:rsidR="001C2FE5" w:rsidRPr="001C2FE5" w:rsidRDefault="001C2FE5" w:rsidP="00F03C4C">
            <w:pPr>
              <w:spacing w:after="0" w:line="240" w:lineRule="auto"/>
              <w:rPr>
                <w:rFonts w:ascii="Cambria" w:eastAsia="Times New Roman" w:hAnsi="Cambria" w:cs="Times New Roman"/>
                <w:color w:val="000000"/>
                <w:sz w:val="20"/>
                <w:szCs w:val="20"/>
                <w:lang w:val="en-ID"/>
              </w:rPr>
            </w:pPr>
            <w:proofErr w:type="spellStart"/>
            <w:r w:rsidRPr="001C2FE5">
              <w:rPr>
                <w:rFonts w:ascii="Cambria" w:eastAsia="Times New Roman" w:hAnsi="Cambria" w:cs="Times New Roman"/>
                <w:color w:val="000000"/>
                <w:sz w:val="20"/>
                <w:szCs w:val="20"/>
                <w:lang w:val="en-ID"/>
              </w:rPr>
              <w:t>Variabel</w:t>
            </w:r>
            <w:proofErr w:type="spellEnd"/>
          </w:p>
        </w:tc>
        <w:tc>
          <w:tcPr>
            <w:tcW w:w="992" w:type="dxa"/>
            <w:tcBorders>
              <w:top w:val="single" w:sz="4" w:space="0" w:color="auto"/>
              <w:bottom w:val="single" w:sz="4" w:space="0" w:color="auto"/>
            </w:tcBorders>
            <w:shd w:val="clear" w:color="auto" w:fill="auto"/>
            <w:noWrap/>
            <w:vAlign w:val="bottom"/>
            <w:hideMark/>
          </w:tcPr>
          <w:p w14:paraId="26598FD0" w14:textId="77777777" w:rsidR="001C2FE5" w:rsidRPr="001C2FE5" w:rsidRDefault="001C2FE5" w:rsidP="00F44607">
            <w:pPr>
              <w:spacing w:after="0" w:line="240" w:lineRule="auto"/>
              <w:jc w:val="center"/>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F2</w:t>
            </w:r>
          </w:p>
        </w:tc>
        <w:tc>
          <w:tcPr>
            <w:tcW w:w="1559" w:type="dxa"/>
            <w:tcBorders>
              <w:top w:val="single" w:sz="4" w:space="0" w:color="auto"/>
              <w:bottom w:val="single" w:sz="4" w:space="0" w:color="auto"/>
            </w:tcBorders>
          </w:tcPr>
          <w:p w14:paraId="54EEF5EE" w14:textId="77777777" w:rsidR="001C2FE5" w:rsidRPr="001C2FE5" w:rsidRDefault="001C2FE5" w:rsidP="00F03C4C">
            <w:pPr>
              <w:spacing w:after="0" w:line="240" w:lineRule="auto"/>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 xml:space="preserve">SNI </w:t>
            </w:r>
            <w:proofErr w:type="spellStart"/>
            <w:r w:rsidRPr="001C2FE5">
              <w:rPr>
                <w:rFonts w:ascii="Cambria" w:eastAsia="Times New Roman" w:hAnsi="Cambria" w:cs="Times New Roman"/>
                <w:color w:val="000000"/>
                <w:sz w:val="20"/>
                <w:szCs w:val="20"/>
                <w:lang w:val="en-ID"/>
              </w:rPr>
              <w:t>Biskuit</w:t>
            </w:r>
            <w:proofErr w:type="spellEnd"/>
            <w:r w:rsidRPr="001C2FE5">
              <w:rPr>
                <w:rFonts w:ascii="Cambria" w:eastAsia="Times New Roman" w:hAnsi="Cambria" w:cs="Times New Roman"/>
                <w:color w:val="000000"/>
                <w:sz w:val="20"/>
                <w:szCs w:val="20"/>
                <w:lang w:val="en-ID"/>
              </w:rPr>
              <w:t xml:space="preserve"> (2011)</w:t>
            </w:r>
          </w:p>
        </w:tc>
      </w:tr>
      <w:tr w:rsidR="001C2FE5" w:rsidRPr="00F03C4C" w14:paraId="15AD0C65" w14:textId="77777777" w:rsidTr="00FE7A42">
        <w:trPr>
          <w:trHeight w:val="262"/>
        </w:trPr>
        <w:tc>
          <w:tcPr>
            <w:tcW w:w="1980" w:type="dxa"/>
            <w:tcBorders>
              <w:top w:val="single" w:sz="4" w:space="0" w:color="auto"/>
            </w:tcBorders>
            <w:shd w:val="clear" w:color="auto" w:fill="auto"/>
            <w:noWrap/>
            <w:vAlign w:val="bottom"/>
            <w:hideMark/>
          </w:tcPr>
          <w:p w14:paraId="139EFA5B" w14:textId="77777777" w:rsidR="001C2FE5" w:rsidRPr="001C2FE5" w:rsidRDefault="001C2FE5" w:rsidP="00F03C4C">
            <w:pPr>
              <w:spacing w:after="0" w:line="240" w:lineRule="auto"/>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Kadar Air (%)</w:t>
            </w:r>
          </w:p>
        </w:tc>
        <w:tc>
          <w:tcPr>
            <w:tcW w:w="992" w:type="dxa"/>
            <w:tcBorders>
              <w:top w:val="single" w:sz="4" w:space="0" w:color="auto"/>
            </w:tcBorders>
            <w:shd w:val="clear" w:color="auto" w:fill="auto"/>
            <w:noWrap/>
            <w:vAlign w:val="bottom"/>
            <w:hideMark/>
          </w:tcPr>
          <w:p w14:paraId="24D6F073" w14:textId="77777777" w:rsidR="001C2FE5" w:rsidRPr="001C2FE5" w:rsidRDefault="001C2FE5" w:rsidP="00F03C4C">
            <w:pPr>
              <w:spacing w:after="0" w:line="240" w:lineRule="auto"/>
              <w:jc w:val="right"/>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3.56</w:t>
            </w:r>
          </w:p>
        </w:tc>
        <w:tc>
          <w:tcPr>
            <w:tcW w:w="1559" w:type="dxa"/>
            <w:tcBorders>
              <w:top w:val="single" w:sz="4" w:space="0" w:color="auto"/>
            </w:tcBorders>
          </w:tcPr>
          <w:p w14:paraId="64D33535" w14:textId="77777777" w:rsidR="001C2FE5" w:rsidRPr="001C2FE5" w:rsidRDefault="001C2FE5" w:rsidP="00F03C4C">
            <w:pPr>
              <w:spacing w:after="0" w:line="240" w:lineRule="auto"/>
              <w:jc w:val="right"/>
              <w:rPr>
                <w:rFonts w:ascii="Cambria" w:eastAsia="Times New Roman" w:hAnsi="Cambria" w:cs="Times New Roman"/>
                <w:color w:val="000000"/>
                <w:sz w:val="20"/>
                <w:szCs w:val="20"/>
                <w:lang w:val="en-ID"/>
              </w:rPr>
            </w:pPr>
            <w:proofErr w:type="spellStart"/>
            <w:r w:rsidRPr="001C2FE5">
              <w:rPr>
                <w:rFonts w:ascii="Cambria" w:eastAsia="Times New Roman" w:hAnsi="Cambria" w:cs="Times New Roman"/>
                <w:color w:val="000000"/>
                <w:sz w:val="20"/>
                <w:szCs w:val="20"/>
                <w:lang w:val="en-ID"/>
              </w:rPr>
              <w:t>Maks</w:t>
            </w:r>
            <w:proofErr w:type="spellEnd"/>
            <w:r w:rsidRPr="001C2FE5">
              <w:rPr>
                <w:rFonts w:ascii="Cambria" w:eastAsia="Times New Roman" w:hAnsi="Cambria" w:cs="Times New Roman"/>
                <w:color w:val="000000"/>
                <w:sz w:val="20"/>
                <w:szCs w:val="20"/>
                <w:lang w:val="en-ID"/>
              </w:rPr>
              <w:t>. 5%</w:t>
            </w:r>
          </w:p>
        </w:tc>
      </w:tr>
      <w:tr w:rsidR="001C2FE5" w:rsidRPr="00F03C4C" w14:paraId="3857B735" w14:textId="77777777" w:rsidTr="00FE7A42">
        <w:trPr>
          <w:trHeight w:val="262"/>
        </w:trPr>
        <w:tc>
          <w:tcPr>
            <w:tcW w:w="1980" w:type="dxa"/>
            <w:shd w:val="clear" w:color="auto" w:fill="auto"/>
            <w:noWrap/>
            <w:vAlign w:val="bottom"/>
          </w:tcPr>
          <w:p w14:paraId="2AC145E0" w14:textId="77777777" w:rsidR="001C2FE5" w:rsidRPr="001C2FE5" w:rsidRDefault="001C2FE5" w:rsidP="00F03C4C">
            <w:pPr>
              <w:spacing w:after="0" w:line="240" w:lineRule="auto"/>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Kadar Abu (%)</w:t>
            </w:r>
          </w:p>
        </w:tc>
        <w:tc>
          <w:tcPr>
            <w:tcW w:w="992" w:type="dxa"/>
            <w:shd w:val="clear" w:color="auto" w:fill="auto"/>
            <w:noWrap/>
            <w:vAlign w:val="bottom"/>
          </w:tcPr>
          <w:p w14:paraId="5BFC33C4" w14:textId="77777777" w:rsidR="001C2FE5" w:rsidRPr="001C2FE5" w:rsidRDefault="001C2FE5" w:rsidP="00F03C4C">
            <w:pPr>
              <w:spacing w:after="0" w:line="240" w:lineRule="auto"/>
              <w:jc w:val="right"/>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1.43</w:t>
            </w:r>
          </w:p>
        </w:tc>
        <w:tc>
          <w:tcPr>
            <w:tcW w:w="1559" w:type="dxa"/>
          </w:tcPr>
          <w:p w14:paraId="755AD2D9" w14:textId="77777777" w:rsidR="001C2FE5" w:rsidRPr="001C2FE5" w:rsidRDefault="001C2FE5" w:rsidP="00F03C4C">
            <w:pPr>
              <w:spacing w:after="0" w:line="240" w:lineRule="auto"/>
              <w:jc w:val="right"/>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w:t>
            </w:r>
          </w:p>
        </w:tc>
      </w:tr>
      <w:tr w:rsidR="001C2FE5" w:rsidRPr="00F03C4C" w14:paraId="24EFE1BB" w14:textId="77777777" w:rsidTr="00FE7A42">
        <w:trPr>
          <w:trHeight w:val="262"/>
        </w:trPr>
        <w:tc>
          <w:tcPr>
            <w:tcW w:w="1980" w:type="dxa"/>
            <w:shd w:val="clear" w:color="auto" w:fill="auto"/>
            <w:noWrap/>
            <w:vAlign w:val="bottom"/>
            <w:hideMark/>
          </w:tcPr>
          <w:p w14:paraId="181C4725" w14:textId="77777777" w:rsidR="001C2FE5" w:rsidRPr="001C2FE5" w:rsidRDefault="001C2FE5" w:rsidP="00F03C4C">
            <w:pPr>
              <w:spacing w:after="0" w:line="240" w:lineRule="auto"/>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Protein (%)</w:t>
            </w:r>
          </w:p>
        </w:tc>
        <w:tc>
          <w:tcPr>
            <w:tcW w:w="992" w:type="dxa"/>
            <w:shd w:val="clear" w:color="auto" w:fill="auto"/>
            <w:noWrap/>
            <w:vAlign w:val="bottom"/>
            <w:hideMark/>
          </w:tcPr>
          <w:p w14:paraId="7971BCE8" w14:textId="77777777" w:rsidR="001C2FE5" w:rsidRPr="001C2FE5" w:rsidRDefault="001C2FE5" w:rsidP="00F03C4C">
            <w:pPr>
              <w:spacing w:after="0" w:line="240" w:lineRule="auto"/>
              <w:jc w:val="right"/>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6.82</w:t>
            </w:r>
          </w:p>
        </w:tc>
        <w:tc>
          <w:tcPr>
            <w:tcW w:w="1559" w:type="dxa"/>
          </w:tcPr>
          <w:p w14:paraId="1B68F79C" w14:textId="77777777" w:rsidR="001C2FE5" w:rsidRPr="001C2FE5" w:rsidRDefault="001C2FE5" w:rsidP="00F03C4C">
            <w:pPr>
              <w:spacing w:after="0" w:line="240" w:lineRule="auto"/>
              <w:jc w:val="right"/>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Min. 5% (b/b)</w:t>
            </w:r>
          </w:p>
        </w:tc>
      </w:tr>
      <w:tr w:rsidR="001C2FE5" w:rsidRPr="00F03C4C" w14:paraId="441E855F" w14:textId="77777777" w:rsidTr="00FE7A42">
        <w:trPr>
          <w:trHeight w:val="262"/>
        </w:trPr>
        <w:tc>
          <w:tcPr>
            <w:tcW w:w="1980" w:type="dxa"/>
            <w:shd w:val="clear" w:color="auto" w:fill="auto"/>
            <w:noWrap/>
            <w:vAlign w:val="bottom"/>
            <w:hideMark/>
          </w:tcPr>
          <w:p w14:paraId="21B39668" w14:textId="77777777" w:rsidR="001C2FE5" w:rsidRPr="001C2FE5" w:rsidRDefault="001C2FE5" w:rsidP="00F03C4C">
            <w:pPr>
              <w:spacing w:after="0" w:line="240" w:lineRule="auto"/>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Lemak (%)</w:t>
            </w:r>
          </w:p>
        </w:tc>
        <w:tc>
          <w:tcPr>
            <w:tcW w:w="992" w:type="dxa"/>
            <w:shd w:val="clear" w:color="auto" w:fill="auto"/>
            <w:noWrap/>
            <w:vAlign w:val="bottom"/>
            <w:hideMark/>
          </w:tcPr>
          <w:p w14:paraId="38055A3C" w14:textId="77777777" w:rsidR="001C2FE5" w:rsidRPr="001C2FE5" w:rsidRDefault="001C2FE5" w:rsidP="00F03C4C">
            <w:pPr>
              <w:spacing w:after="0" w:line="240" w:lineRule="auto"/>
              <w:jc w:val="right"/>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13.55</w:t>
            </w:r>
          </w:p>
        </w:tc>
        <w:tc>
          <w:tcPr>
            <w:tcW w:w="1559" w:type="dxa"/>
          </w:tcPr>
          <w:p w14:paraId="40637F7C" w14:textId="77777777" w:rsidR="001C2FE5" w:rsidRPr="001C2FE5" w:rsidRDefault="001C2FE5" w:rsidP="00F03C4C">
            <w:pPr>
              <w:spacing w:after="0" w:line="240" w:lineRule="auto"/>
              <w:jc w:val="right"/>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w:t>
            </w:r>
          </w:p>
        </w:tc>
      </w:tr>
      <w:tr w:rsidR="001C2FE5" w:rsidRPr="00F03C4C" w14:paraId="0DBD5D9F" w14:textId="77777777" w:rsidTr="00FE7A42">
        <w:trPr>
          <w:trHeight w:val="262"/>
        </w:trPr>
        <w:tc>
          <w:tcPr>
            <w:tcW w:w="1980" w:type="dxa"/>
            <w:shd w:val="clear" w:color="auto" w:fill="auto"/>
            <w:noWrap/>
            <w:vAlign w:val="bottom"/>
          </w:tcPr>
          <w:p w14:paraId="61EF78BB" w14:textId="77777777" w:rsidR="001C2FE5" w:rsidRPr="001C2FE5" w:rsidRDefault="001C2FE5" w:rsidP="00F03C4C">
            <w:pPr>
              <w:spacing w:after="0" w:line="240" w:lineRule="auto"/>
              <w:rPr>
                <w:rFonts w:ascii="Cambria" w:eastAsia="Times New Roman" w:hAnsi="Cambria" w:cs="Times New Roman"/>
                <w:color w:val="000000"/>
                <w:sz w:val="20"/>
                <w:szCs w:val="20"/>
                <w:lang w:val="en-ID"/>
              </w:rPr>
            </w:pPr>
            <w:proofErr w:type="spellStart"/>
            <w:r w:rsidRPr="001C2FE5">
              <w:rPr>
                <w:rFonts w:ascii="Cambria" w:eastAsia="Times New Roman" w:hAnsi="Cambria" w:cs="Times New Roman"/>
                <w:color w:val="000000"/>
                <w:sz w:val="20"/>
                <w:szCs w:val="20"/>
                <w:lang w:val="en-ID"/>
              </w:rPr>
              <w:t>Karbohidrat</w:t>
            </w:r>
            <w:proofErr w:type="spellEnd"/>
            <w:r w:rsidRPr="001C2FE5">
              <w:rPr>
                <w:rFonts w:ascii="Cambria" w:eastAsia="Times New Roman" w:hAnsi="Cambria" w:cs="Times New Roman"/>
                <w:color w:val="000000"/>
                <w:sz w:val="20"/>
                <w:szCs w:val="20"/>
                <w:lang w:val="en-ID"/>
              </w:rPr>
              <w:t xml:space="preserve"> (%)</w:t>
            </w:r>
          </w:p>
        </w:tc>
        <w:tc>
          <w:tcPr>
            <w:tcW w:w="992" w:type="dxa"/>
            <w:shd w:val="clear" w:color="auto" w:fill="auto"/>
            <w:noWrap/>
            <w:vAlign w:val="bottom"/>
          </w:tcPr>
          <w:p w14:paraId="2CEF3F67" w14:textId="77777777" w:rsidR="001C2FE5" w:rsidRPr="001C2FE5" w:rsidRDefault="001C2FE5" w:rsidP="00F03C4C">
            <w:pPr>
              <w:spacing w:after="0" w:line="240" w:lineRule="auto"/>
              <w:jc w:val="right"/>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74.64</w:t>
            </w:r>
          </w:p>
        </w:tc>
        <w:tc>
          <w:tcPr>
            <w:tcW w:w="1559" w:type="dxa"/>
          </w:tcPr>
          <w:p w14:paraId="716012C7" w14:textId="77777777" w:rsidR="001C2FE5" w:rsidRPr="001C2FE5" w:rsidRDefault="001C2FE5" w:rsidP="00F03C4C">
            <w:pPr>
              <w:spacing w:after="0" w:line="240" w:lineRule="auto"/>
              <w:jc w:val="right"/>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w:t>
            </w:r>
          </w:p>
        </w:tc>
      </w:tr>
      <w:tr w:rsidR="001C2FE5" w:rsidRPr="00F03C4C" w14:paraId="677708C7" w14:textId="77777777" w:rsidTr="00FE7A42">
        <w:trPr>
          <w:trHeight w:val="262"/>
        </w:trPr>
        <w:tc>
          <w:tcPr>
            <w:tcW w:w="1980" w:type="dxa"/>
            <w:shd w:val="clear" w:color="auto" w:fill="auto"/>
            <w:noWrap/>
            <w:vAlign w:val="bottom"/>
            <w:hideMark/>
          </w:tcPr>
          <w:p w14:paraId="34BD6405" w14:textId="77777777" w:rsidR="001C2FE5" w:rsidRPr="001C2FE5" w:rsidRDefault="001C2FE5" w:rsidP="00F03C4C">
            <w:pPr>
              <w:spacing w:after="0" w:line="240" w:lineRule="auto"/>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Serat Kasar (%)</w:t>
            </w:r>
          </w:p>
        </w:tc>
        <w:tc>
          <w:tcPr>
            <w:tcW w:w="992" w:type="dxa"/>
            <w:shd w:val="clear" w:color="auto" w:fill="auto"/>
            <w:noWrap/>
            <w:vAlign w:val="bottom"/>
            <w:hideMark/>
          </w:tcPr>
          <w:p w14:paraId="29892A53" w14:textId="77777777" w:rsidR="001C2FE5" w:rsidRPr="001C2FE5" w:rsidRDefault="001C2FE5" w:rsidP="00F03C4C">
            <w:pPr>
              <w:spacing w:after="0" w:line="240" w:lineRule="auto"/>
              <w:jc w:val="right"/>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1.1</w:t>
            </w:r>
          </w:p>
        </w:tc>
        <w:tc>
          <w:tcPr>
            <w:tcW w:w="1559" w:type="dxa"/>
          </w:tcPr>
          <w:p w14:paraId="0E2974EB" w14:textId="77777777" w:rsidR="001C2FE5" w:rsidRPr="001C2FE5" w:rsidRDefault="001C2FE5" w:rsidP="00F03C4C">
            <w:pPr>
              <w:spacing w:after="0" w:line="240" w:lineRule="auto"/>
              <w:jc w:val="right"/>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w:t>
            </w:r>
          </w:p>
        </w:tc>
      </w:tr>
      <w:tr w:rsidR="001C2FE5" w:rsidRPr="00F03C4C" w14:paraId="33AFFEED" w14:textId="77777777" w:rsidTr="00FE7A42">
        <w:trPr>
          <w:trHeight w:val="262"/>
        </w:trPr>
        <w:tc>
          <w:tcPr>
            <w:tcW w:w="1980" w:type="dxa"/>
            <w:shd w:val="clear" w:color="auto" w:fill="auto"/>
            <w:noWrap/>
            <w:vAlign w:val="bottom"/>
            <w:hideMark/>
          </w:tcPr>
          <w:p w14:paraId="5C9896FA" w14:textId="77777777" w:rsidR="001C2FE5" w:rsidRPr="001C2FE5" w:rsidRDefault="001C2FE5" w:rsidP="00F03C4C">
            <w:pPr>
              <w:spacing w:after="0" w:line="240" w:lineRule="auto"/>
              <w:rPr>
                <w:rFonts w:ascii="Cambria" w:eastAsia="Times New Roman" w:hAnsi="Cambria" w:cs="Times New Roman"/>
                <w:color w:val="000000"/>
                <w:sz w:val="20"/>
                <w:szCs w:val="20"/>
                <w:lang w:val="en-ID"/>
              </w:rPr>
            </w:pPr>
            <w:proofErr w:type="spellStart"/>
            <w:r w:rsidRPr="001C2FE5">
              <w:rPr>
                <w:rFonts w:ascii="Cambria" w:eastAsia="Times New Roman" w:hAnsi="Cambria" w:cs="Times New Roman"/>
                <w:color w:val="000000"/>
                <w:sz w:val="20"/>
                <w:szCs w:val="20"/>
                <w:lang w:val="en-ID"/>
              </w:rPr>
              <w:t>Energi</w:t>
            </w:r>
            <w:proofErr w:type="spellEnd"/>
            <w:r w:rsidRPr="001C2FE5">
              <w:rPr>
                <w:rFonts w:ascii="Cambria" w:eastAsia="Times New Roman" w:hAnsi="Cambria" w:cs="Times New Roman"/>
                <w:color w:val="000000"/>
                <w:sz w:val="20"/>
                <w:szCs w:val="20"/>
                <w:lang w:val="en-ID"/>
              </w:rPr>
              <w:t xml:space="preserve"> per 100g (</w:t>
            </w:r>
            <w:proofErr w:type="spellStart"/>
            <w:r w:rsidRPr="001C2FE5">
              <w:rPr>
                <w:rFonts w:ascii="Cambria" w:eastAsia="Times New Roman" w:hAnsi="Cambria" w:cs="Times New Roman"/>
                <w:color w:val="000000"/>
                <w:sz w:val="20"/>
                <w:szCs w:val="20"/>
                <w:lang w:val="en-ID"/>
              </w:rPr>
              <w:t>kkal</w:t>
            </w:r>
            <w:proofErr w:type="spellEnd"/>
            <w:r w:rsidRPr="001C2FE5">
              <w:rPr>
                <w:rFonts w:ascii="Cambria" w:eastAsia="Times New Roman" w:hAnsi="Cambria" w:cs="Times New Roman"/>
                <w:color w:val="000000"/>
                <w:sz w:val="20"/>
                <w:szCs w:val="20"/>
                <w:lang w:val="en-ID"/>
              </w:rPr>
              <w:t>)</w:t>
            </w:r>
          </w:p>
        </w:tc>
        <w:tc>
          <w:tcPr>
            <w:tcW w:w="992" w:type="dxa"/>
            <w:shd w:val="clear" w:color="auto" w:fill="auto"/>
            <w:noWrap/>
            <w:vAlign w:val="bottom"/>
            <w:hideMark/>
          </w:tcPr>
          <w:p w14:paraId="063C97F9" w14:textId="77777777" w:rsidR="001C2FE5" w:rsidRPr="001C2FE5" w:rsidRDefault="001C2FE5" w:rsidP="00F03C4C">
            <w:pPr>
              <w:spacing w:after="0" w:line="240" w:lineRule="auto"/>
              <w:jc w:val="right"/>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447.79</w:t>
            </w:r>
          </w:p>
        </w:tc>
        <w:tc>
          <w:tcPr>
            <w:tcW w:w="1559" w:type="dxa"/>
          </w:tcPr>
          <w:p w14:paraId="5D9EE47A" w14:textId="77777777" w:rsidR="001C2FE5" w:rsidRPr="001C2FE5" w:rsidRDefault="001C2FE5" w:rsidP="00F03C4C">
            <w:pPr>
              <w:spacing w:after="0" w:line="240" w:lineRule="auto"/>
              <w:jc w:val="right"/>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w:t>
            </w:r>
          </w:p>
        </w:tc>
      </w:tr>
      <w:tr w:rsidR="001C2FE5" w:rsidRPr="00F03C4C" w14:paraId="3E3D30C1" w14:textId="77777777" w:rsidTr="00FE7A42">
        <w:trPr>
          <w:trHeight w:val="262"/>
        </w:trPr>
        <w:tc>
          <w:tcPr>
            <w:tcW w:w="1980" w:type="dxa"/>
            <w:shd w:val="clear" w:color="auto" w:fill="auto"/>
            <w:noWrap/>
            <w:vAlign w:val="bottom"/>
            <w:hideMark/>
          </w:tcPr>
          <w:p w14:paraId="01D3A570" w14:textId="77777777" w:rsidR="001C2FE5" w:rsidRPr="001C2FE5" w:rsidRDefault="001C2FE5" w:rsidP="00F03C4C">
            <w:pPr>
              <w:spacing w:after="0" w:line="240" w:lineRule="auto"/>
              <w:rPr>
                <w:rFonts w:ascii="Cambria" w:eastAsia="Times New Roman" w:hAnsi="Cambria" w:cs="Times New Roman"/>
                <w:color w:val="000000"/>
                <w:sz w:val="20"/>
                <w:szCs w:val="20"/>
                <w:lang w:val="en-ID"/>
              </w:rPr>
            </w:pPr>
            <w:proofErr w:type="spellStart"/>
            <w:r w:rsidRPr="001C2FE5">
              <w:rPr>
                <w:rFonts w:ascii="Cambria" w:eastAsia="Times New Roman" w:hAnsi="Cambria" w:cs="Times New Roman"/>
                <w:color w:val="000000"/>
                <w:sz w:val="20"/>
                <w:szCs w:val="20"/>
                <w:lang w:val="en-ID"/>
              </w:rPr>
              <w:t>Antioksidan</w:t>
            </w:r>
            <w:proofErr w:type="spellEnd"/>
            <w:r w:rsidRPr="001C2FE5">
              <w:rPr>
                <w:rFonts w:ascii="Cambria" w:eastAsia="Times New Roman" w:hAnsi="Cambria" w:cs="Times New Roman"/>
                <w:color w:val="000000"/>
                <w:sz w:val="20"/>
                <w:szCs w:val="20"/>
                <w:lang w:val="en-ID"/>
              </w:rPr>
              <w:t xml:space="preserve"> per 100g (mg)</w:t>
            </w:r>
          </w:p>
        </w:tc>
        <w:tc>
          <w:tcPr>
            <w:tcW w:w="992" w:type="dxa"/>
            <w:shd w:val="clear" w:color="auto" w:fill="auto"/>
            <w:noWrap/>
            <w:vAlign w:val="bottom"/>
            <w:hideMark/>
          </w:tcPr>
          <w:p w14:paraId="58294A58" w14:textId="77777777" w:rsidR="001C2FE5" w:rsidRPr="001C2FE5" w:rsidRDefault="001C2FE5" w:rsidP="00F03C4C">
            <w:pPr>
              <w:spacing w:after="0" w:line="240" w:lineRule="auto"/>
              <w:jc w:val="right"/>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1374.8</w:t>
            </w:r>
          </w:p>
        </w:tc>
        <w:tc>
          <w:tcPr>
            <w:tcW w:w="1559" w:type="dxa"/>
          </w:tcPr>
          <w:p w14:paraId="43160150" w14:textId="77777777" w:rsidR="001C2FE5" w:rsidRPr="001C2FE5" w:rsidRDefault="001C2FE5" w:rsidP="00F03C4C">
            <w:pPr>
              <w:spacing w:after="0" w:line="240" w:lineRule="auto"/>
              <w:jc w:val="right"/>
              <w:rPr>
                <w:rFonts w:ascii="Cambria" w:eastAsia="Times New Roman" w:hAnsi="Cambria" w:cs="Times New Roman"/>
                <w:color w:val="000000"/>
                <w:sz w:val="20"/>
                <w:szCs w:val="20"/>
                <w:lang w:val="en-ID"/>
              </w:rPr>
            </w:pPr>
            <w:r w:rsidRPr="001C2FE5">
              <w:rPr>
                <w:rFonts w:ascii="Cambria" w:eastAsia="Times New Roman" w:hAnsi="Cambria" w:cs="Times New Roman"/>
                <w:color w:val="000000"/>
                <w:sz w:val="20"/>
                <w:szCs w:val="20"/>
                <w:lang w:val="en-ID"/>
              </w:rPr>
              <w:t>-</w:t>
            </w:r>
          </w:p>
        </w:tc>
      </w:tr>
    </w:tbl>
    <w:p w14:paraId="4C843C05" w14:textId="77777777" w:rsidR="00F03C4C" w:rsidRPr="00F03C4C" w:rsidRDefault="00F03C4C" w:rsidP="00F03C4C">
      <w:pPr>
        <w:spacing w:after="0" w:line="240" w:lineRule="auto"/>
        <w:ind w:left="720"/>
        <w:jc w:val="both"/>
        <w:rPr>
          <w:rFonts w:ascii="Cambria" w:hAnsi="Cambria" w:cs="Times New Roman"/>
        </w:rPr>
      </w:pPr>
    </w:p>
    <w:p w14:paraId="07FF78D7" w14:textId="20CAE476" w:rsidR="00F03C4C" w:rsidRPr="00F03C4C" w:rsidRDefault="00F03C4C" w:rsidP="001C2FE5">
      <w:pPr>
        <w:spacing w:after="0" w:line="240" w:lineRule="auto"/>
        <w:ind w:firstLine="720"/>
        <w:jc w:val="both"/>
        <w:rPr>
          <w:rFonts w:ascii="Cambria" w:hAnsi="Cambria" w:cs="Times New Roman"/>
        </w:rPr>
      </w:pPr>
      <w:r w:rsidRPr="00D95178">
        <w:rPr>
          <w:rFonts w:ascii="Cambria" w:hAnsi="Cambria" w:cs="Times New Roman"/>
        </w:rPr>
        <w:t>Kadar air</w:t>
      </w:r>
      <w:r w:rsidRPr="00F03C4C">
        <w:rPr>
          <w:rFonts w:ascii="Cambria" w:hAnsi="Cambria" w:cs="Times New Roman"/>
        </w:rPr>
        <w:t xml:space="preserve"> </w:t>
      </w:r>
      <w:proofErr w:type="spellStart"/>
      <w:r w:rsidR="00730FE4">
        <w:rPr>
          <w:rFonts w:ascii="Cambria" w:hAnsi="Cambria" w:cs="Times New Roman"/>
        </w:rPr>
        <w:t>adalah</w:t>
      </w:r>
      <w:proofErr w:type="spellEnd"/>
      <w:r w:rsidRPr="00F03C4C">
        <w:rPr>
          <w:rFonts w:ascii="Cambria" w:hAnsi="Cambria" w:cs="Times New Roman"/>
        </w:rPr>
        <w:t xml:space="preserve"> </w:t>
      </w:r>
      <w:r w:rsidR="00F44607">
        <w:rPr>
          <w:rFonts w:ascii="Cambria" w:hAnsi="Cambria" w:cs="Times New Roman"/>
        </w:rPr>
        <w:t>parameter</w:t>
      </w:r>
      <w:r w:rsidRPr="00F03C4C">
        <w:rPr>
          <w:rFonts w:ascii="Cambria" w:hAnsi="Cambria" w:cs="Times New Roman"/>
        </w:rPr>
        <w:t xml:space="preserve"> yang </w:t>
      </w:r>
      <w:proofErr w:type="spellStart"/>
      <w:r w:rsidR="00730FE4">
        <w:rPr>
          <w:rFonts w:ascii="Cambria" w:hAnsi="Cambria" w:cs="Times New Roman"/>
        </w:rPr>
        <w:t>ber</w:t>
      </w:r>
      <w:r w:rsidRPr="00F03C4C">
        <w:rPr>
          <w:rFonts w:ascii="Cambria" w:hAnsi="Cambria" w:cs="Times New Roman"/>
        </w:rPr>
        <w:t>pengaruh</w:t>
      </w:r>
      <w:proofErr w:type="spellEnd"/>
      <w:r w:rsidRPr="00F03C4C">
        <w:rPr>
          <w:rFonts w:ascii="Cambria" w:hAnsi="Cambria" w:cs="Times New Roman"/>
        </w:rPr>
        <w:t xml:space="preserve"> </w:t>
      </w:r>
      <w:proofErr w:type="spellStart"/>
      <w:r w:rsidRPr="00F03C4C">
        <w:rPr>
          <w:rFonts w:ascii="Cambria" w:hAnsi="Cambria" w:cs="Times New Roman"/>
        </w:rPr>
        <w:t>terhadap</w:t>
      </w:r>
      <w:proofErr w:type="spellEnd"/>
      <w:r w:rsidRPr="00F03C4C">
        <w:rPr>
          <w:rFonts w:ascii="Cambria" w:hAnsi="Cambria" w:cs="Times New Roman"/>
        </w:rPr>
        <w:t xml:space="preserve"> </w:t>
      </w:r>
      <w:proofErr w:type="spellStart"/>
      <w:r w:rsidRPr="00F03C4C">
        <w:rPr>
          <w:rFonts w:ascii="Cambria" w:hAnsi="Cambria" w:cs="Times New Roman"/>
        </w:rPr>
        <w:t>daya</w:t>
      </w:r>
      <w:proofErr w:type="spellEnd"/>
      <w:r w:rsidRPr="00F03C4C">
        <w:rPr>
          <w:rFonts w:ascii="Cambria" w:hAnsi="Cambria" w:cs="Times New Roman"/>
        </w:rPr>
        <w:t xml:space="preserve"> </w:t>
      </w:r>
      <w:proofErr w:type="spellStart"/>
      <w:r w:rsidR="00730FE4">
        <w:rPr>
          <w:rFonts w:ascii="Cambria" w:hAnsi="Cambria" w:cs="Times New Roman"/>
        </w:rPr>
        <w:t>simpan</w:t>
      </w:r>
      <w:proofErr w:type="spellEnd"/>
      <w:r w:rsidR="00730FE4">
        <w:rPr>
          <w:rFonts w:ascii="Cambria" w:hAnsi="Cambria" w:cs="Times New Roman"/>
        </w:rPr>
        <w:t xml:space="preserve"> </w:t>
      </w:r>
      <w:proofErr w:type="spellStart"/>
      <w:r w:rsidRPr="00F03C4C">
        <w:rPr>
          <w:rFonts w:ascii="Cambria" w:hAnsi="Cambria" w:cs="Times New Roman"/>
        </w:rPr>
        <w:t>biskuit</w:t>
      </w:r>
      <w:proofErr w:type="spellEnd"/>
      <w:r w:rsidRPr="00F03C4C">
        <w:rPr>
          <w:rFonts w:ascii="Cambria" w:hAnsi="Cambria" w:cs="Times New Roman"/>
        </w:rPr>
        <w:t xml:space="preserve">. Kadar air formula </w:t>
      </w:r>
      <w:proofErr w:type="spellStart"/>
      <w:r w:rsidRPr="00F03C4C">
        <w:rPr>
          <w:rFonts w:ascii="Cambria" w:hAnsi="Cambria" w:cs="Times New Roman"/>
        </w:rPr>
        <w:t>biskuit</w:t>
      </w:r>
      <w:proofErr w:type="spellEnd"/>
      <w:r w:rsidRPr="00F03C4C">
        <w:rPr>
          <w:rFonts w:ascii="Cambria" w:hAnsi="Cambria" w:cs="Times New Roman"/>
        </w:rPr>
        <w:t xml:space="preserve"> </w:t>
      </w:r>
      <w:proofErr w:type="spellStart"/>
      <w:r w:rsidR="00730FE4">
        <w:rPr>
          <w:rFonts w:ascii="Cambria" w:hAnsi="Cambria" w:cs="Times New Roman"/>
        </w:rPr>
        <w:t>rempah</w:t>
      </w:r>
      <w:proofErr w:type="spellEnd"/>
      <w:r w:rsidR="00730FE4">
        <w:rPr>
          <w:rFonts w:ascii="Cambria" w:hAnsi="Cambria" w:cs="Times New Roman"/>
        </w:rPr>
        <w:t xml:space="preserve"> </w:t>
      </w:r>
      <w:proofErr w:type="spellStart"/>
      <w:r w:rsidR="00730FE4">
        <w:rPr>
          <w:rFonts w:ascii="Cambria" w:hAnsi="Cambria" w:cs="Times New Roman"/>
        </w:rPr>
        <w:t>terpilih</w:t>
      </w:r>
      <w:proofErr w:type="spellEnd"/>
      <w:r w:rsidR="00730FE4">
        <w:rPr>
          <w:rFonts w:ascii="Cambria" w:hAnsi="Cambria" w:cs="Times New Roman"/>
        </w:rPr>
        <w:t xml:space="preserve"> </w:t>
      </w:r>
      <w:proofErr w:type="spellStart"/>
      <w:r w:rsidR="00730FE4">
        <w:rPr>
          <w:rFonts w:ascii="Cambria" w:hAnsi="Cambria" w:cs="Times New Roman"/>
        </w:rPr>
        <w:t>memenuhi</w:t>
      </w:r>
      <w:proofErr w:type="spellEnd"/>
      <w:r w:rsidR="00730FE4">
        <w:rPr>
          <w:rFonts w:ascii="Cambria" w:hAnsi="Cambria" w:cs="Times New Roman"/>
        </w:rPr>
        <w:t xml:space="preserve"> </w:t>
      </w:r>
      <w:proofErr w:type="spellStart"/>
      <w:r w:rsidR="0070248B">
        <w:rPr>
          <w:rFonts w:ascii="Cambria" w:hAnsi="Cambria" w:cs="Times New Roman"/>
        </w:rPr>
        <w:t>standar</w:t>
      </w:r>
      <w:proofErr w:type="spellEnd"/>
      <w:r w:rsidRPr="00F03C4C">
        <w:rPr>
          <w:rFonts w:ascii="Cambria" w:hAnsi="Cambria" w:cs="Times New Roman"/>
        </w:rPr>
        <w:t xml:space="preserve"> </w:t>
      </w:r>
      <w:proofErr w:type="spellStart"/>
      <w:r w:rsidRPr="00F03C4C">
        <w:rPr>
          <w:rFonts w:ascii="Cambria" w:hAnsi="Cambria" w:cs="Times New Roman"/>
        </w:rPr>
        <w:t>mutu</w:t>
      </w:r>
      <w:proofErr w:type="spellEnd"/>
      <w:r w:rsidRPr="00F03C4C">
        <w:rPr>
          <w:rFonts w:ascii="Cambria" w:hAnsi="Cambria" w:cs="Times New Roman"/>
        </w:rPr>
        <w:t xml:space="preserve"> </w:t>
      </w:r>
      <w:r w:rsidR="0070248B">
        <w:rPr>
          <w:rFonts w:ascii="Cambria" w:hAnsi="Cambria" w:cs="Times New Roman"/>
        </w:rPr>
        <w:t xml:space="preserve">SNI </w:t>
      </w:r>
      <w:proofErr w:type="spellStart"/>
      <w:r w:rsidRPr="00F03C4C">
        <w:rPr>
          <w:rFonts w:ascii="Cambria" w:hAnsi="Cambria" w:cs="Times New Roman"/>
        </w:rPr>
        <w:t>biskuit</w:t>
      </w:r>
      <w:proofErr w:type="spellEnd"/>
      <w:r w:rsidRPr="00F03C4C">
        <w:rPr>
          <w:rFonts w:ascii="Cambria" w:hAnsi="Cambria" w:cs="Times New Roman"/>
        </w:rPr>
        <w:t xml:space="preserve"> </w:t>
      </w:r>
      <w:proofErr w:type="spellStart"/>
      <w:r w:rsidRPr="00F03C4C">
        <w:rPr>
          <w:rFonts w:ascii="Cambria" w:hAnsi="Cambria" w:cs="Times New Roman"/>
        </w:rPr>
        <w:t>yaitu</w:t>
      </w:r>
      <w:proofErr w:type="spellEnd"/>
      <w:r w:rsidRPr="00F03C4C">
        <w:rPr>
          <w:rFonts w:ascii="Cambria" w:hAnsi="Cambria" w:cs="Times New Roman"/>
        </w:rPr>
        <w:t xml:space="preserve"> </w:t>
      </w:r>
      <w:proofErr w:type="spellStart"/>
      <w:r w:rsidRPr="00F03C4C">
        <w:rPr>
          <w:rFonts w:ascii="Cambria" w:hAnsi="Cambria" w:cs="Times New Roman"/>
        </w:rPr>
        <w:t>maksimum</w:t>
      </w:r>
      <w:proofErr w:type="spellEnd"/>
      <w:r w:rsidRPr="00F03C4C">
        <w:rPr>
          <w:rFonts w:ascii="Cambria" w:hAnsi="Cambria" w:cs="Times New Roman"/>
        </w:rPr>
        <w:t xml:space="preserve"> </w:t>
      </w:r>
      <w:proofErr w:type="spellStart"/>
      <w:r w:rsidRPr="00F03C4C">
        <w:rPr>
          <w:rFonts w:ascii="Cambria" w:hAnsi="Cambria" w:cs="Times New Roman"/>
        </w:rPr>
        <w:t>sebesar</w:t>
      </w:r>
      <w:proofErr w:type="spellEnd"/>
      <w:r w:rsidRPr="00F03C4C">
        <w:rPr>
          <w:rFonts w:ascii="Cambria" w:hAnsi="Cambria" w:cs="Times New Roman"/>
        </w:rPr>
        <w:t xml:space="preserve"> 5%. Hal </w:t>
      </w:r>
      <w:proofErr w:type="spellStart"/>
      <w:r w:rsidRPr="00F03C4C">
        <w:rPr>
          <w:rFonts w:ascii="Cambria" w:hAnsi="Cambria" w:cs="Times New Roman"/>
        </w:rPr>
        <w:t>ini</w:t>
      </w:r>
      <w:proofErr w:type="spellEnd"/>
      <w:r w:rsidRPr="00F03C4C">
        <w:rPr>
          <w:rFonts w:ascii="Cambria" w:hAnsi="Cambria" w:cs="Times New Roman"/>
        </w:rPr>
        <w:t xml:space="preserve"> </w:t>
      </w:r>
      <w:proofErr w:type="spellStart"/>
      <w:r w:rsidRPr="00F03C4C">
        <w:rPr>
          <w:rFonts w:ascii="Cambria" w:hAnsi="Cambria" w:cs="Times New Roman"/>
        </w:rPr>
        <w:t>menunjukkan</w:t>
      </w:r>
      <w:proofErr w:type="spellEnd"/>
      <w:r w:rsidRPr="00F03C4C">
        <w:rPr>
          <w:rFonts w:ascii="Cambria" w:hAnsi="Cambria" w:cs="Times New Roman"/>
        </w:rPr>
        <w:t xml:space="preserve"> </w:t>
      </w:r>
      <w:proofErr w:type="spellStart"/>
      <w:r w:rsidRPr="00F03C4C">
        <w:rPr>
          <w:rFonts w:ascii="Cambria" w:hAnsi="Cambria" w:cs="Times New Roman"/>
        </w:rPr>
        <w:t>bahwa</w:t>
      </w:r>
      <w:proofErr w:type="spellEnd"/>
      <w:r w:rsidRPr="00F03C4C">
        <w:rPr>
          <w:rFonts w:ascii="Cambria" w:hAnsi="Cambria" w:cs="Times New Roman"/>
        </w:rPr>
        <w:t xml:space="preserve"> </w:t>
      </w:r>
      <w:proofErr w:type="spellStart"/>
      <w:r w:rsidR="0063512D">
        <w:rPr>
          <w:rFonts w:ascii="Cambria" w:hAnsi="Cambria" w:cs="Times New Roman"/>
        </w:rPr>
        <w:t>biskuit</w:t>
      </w:r>
      <w:proofErr w:type="spellEnd"/>
      <w:r w:rsidRPr="00F03C4C">
        <w:rPr>
          <w:rFonts w:ascii="Cambria" w:hAnsi="Cambria" w:cs="Times New Roman"/>
        </w:rPr>
        <w:t xml:space="preserve"> </w:t>
      </w:r>
      <w:proofErr w:type="spellStart"/>
      <w:r w:rsidR="00730FE4">
        <w:rPr>
          <w:rFonts w:ascii="Cambria" w:hAnsi="Cambria" w:cs="Times New Roman"/>
        </w:rPr>
        <w:t>rempah</w:t>
      </w:r>
      <w:proofErr w:type="spellEnd"/>
      <w:r w:rsidR="001C2FE5">
        <w:rPr>
          <w:rFonts w:ascii="Cambria" w:hAnsi="Cambria" w:cs="Times New Roman"/>
        </w:rPr>
        <w:t xml:space="preserve"> F2</w:t>
      </w:r>
      <w:r w:rsidRPr="00F03C4C">
        <w:rPr>
          <w:rFonts w:ascii="Cambria" w:hAnsi="Cambria" w:cs="Times New Roman"/>
        </w:rPr>
        <w:t xml:space="preserve"> </w:t>
      </w:r>
      <w:proofErr w:type="spellStart"/>
      <w:r w:rsidRPr="00F03C4C">
        <w:rPr>
          <w:rFonts w:ascii="Cambria" w:hAnsi="Cambria" w:cs="Times New Roman"/>
        </w:rPr>
        <w:t>tidak</w:t>
      </w:r>
      <w:proofErr w:type="spellEnd"/>
      <w:r w:rsidRPr="00F03C4C">
        <w:rPr>
          <w:rFonts w:ascii="Cambria" w:hAnsi="Cambria" w:cs="Times New Roman"/>
        </w:rPr>
        <w:t xml:space="preserve"> </w:t>
      </w:r>
      <w:proofErr w:type="spellStart"/>
      <w:r w:rsidRPr="00F03C4C">
        <w:rPr>
          <w:rFonts w:ascii="Cambria" w:hAnsi="Cambria" w:cs="Times New Roman"/>
        </w:rPr>
        <w:t>mudah</w:t>
      </w:r>
      <w:proofErr w:type="spellEnd"/>
      <w:r w:rsidRPr="00F03C4C">
        <w:rPr>
          <w:rFonts w:ascii="Cambria" w:hAnsi="Cambria" w:cs="Times New Roman"/>
        </w:rPr>
        <w:t xml:space="preserve"> </w:t>
      </w:r>
      <w:proofErr w:type="spellStart"/>
      <w:r w:rsidRPr="00F03C4C">
        <w:rPr>
          <w:rFonts w:ascii="Cambria" w:hAnsi="Cambria" w:cs="Times New Roman"/>
        </w:rPr>
        <w:t>rusak</w:t>
      </w:r>
      <w:proofErr w:type="spellEnd"/>
      <w:r w:rsidR="00730FE4">
        <w:rPr>
          <w:rFonts w:ascii="Cambria" w:hAnsi="Cambria" w:cs="Times New Roman"/>
        </w:rPr>
        <w:t xml:space="preserve"> oleh </w:t>
      </w:r>
      <w:proofErr w:type="spellStart"/>
      <w:r w:rsidR="00730FE4">
        <w:rPr>
          <w:rFonts w:ascii="Cambria" w:hAnsi="Cambria" w:cs="Times New Roman"/>
        </w:rPr>
        <w:t>penyimpanan</w:t>
      </w:r>
      <w:proofErr w:type="spellEnd"/>
      <w:r w:rsidRPr="00F03C4C">
        <w:rPr>
          <w:rFonts w:ascii="Cambria" w:hAnsi="Cambria" w:cs="Times New Roman"/>
        </w:rPr>
        <w:t xml:space="preserve"> </w:t>
      </w:r>
      <w:proofErr w:type="spellStart"/>
      <w:r w:rsidRPr="00F03C4C">
        <w:rPr>
          <w:rFonts w:ascii="Cambria" w:hAnsi="Cambria" w:cs="Times New Roman"/>
        </w:rPr>
        <w:t>karena</w:t>
      </w:r>
      <w:proofErr w:type="spellEnd"/>
      <w:r w:rsidRPr="00F03C4C">
        <w:rPr>
          <w:rFonts w:ascii="Cambria" w:hAnsi="Cambria" w:cs="Times New Roman"/>
        </w:rPr>
        <w:t xml:space="preserve"> </w:t>
      </w:r>
      <w:proofErr w:type="spellStart"/>
      <w:r w:rsidRPr="00F03C4C">
        <w:rPr>
          <w:rFonts w:ascii="Cambria" w:hAnsi="Cambria" w:cs="Times New Roman"/>
        </w:rPr>
        <w:t>memiliki</w:t>
      </w:r>
      <w:proofErr w:type="spellEnd"/>
      <w:r w:rsidRPr="00F03C4C">
        <w:rPr>
          <w:rFonts w:ascii="Cambria" w:hAnsi="Cambria" w:cs="Times New Roman"/>
        </w:rPr>
        <w:t xml:space="preserve"> </w:t>
      </w:r>
      <w:proofErr w:type="spellStart"/>
      <w:r w:rsidRPr="00F03C4C">
        <w:rPr>
          <w:rFonts w:ascii="Cambria" w:hAnsi="Cambria" w:cs="Times New Roman"/>
        </w:rPr>
        <w:t>kadar</w:t>
      </w:r>
      <w:proofErr w:type="spellEnd"/>
      <w:r w:rsidRPr="00F03C4C">
        <w:rPr>
          <w:rFonts w:ascii="Cambria" w:hAnsi="Cambria" w:cs="Times New Roman"/>
        </w:rPr>
        <w:t xml:space="preserve"> air yang </w:t>
      </w:r>
      <w:proofErr w:type="spellStart"/>
      <w:r w:rsidRPr="00F03C4C">
        <w:rPr>
          <w:rFonts w:ascii="Cambria" w:hAnsi="Cambria" w:cs="Times New Roman"/>
        </w:rPr>
        <w:t>rendah</w:t>
      </w:r>
      <w:proofErr w:type="spellEnd"/>
      <w:r w:rsidR="00730FE4">
        <w:rPr>
          <w:rFonts w:ascii="Cambria" w:hAnsi="Cambria" w:cs="Times New Roman"/>
        </w:rPr>
        <w:t>.</w:t>
      </w:r>
    </w:p>
    <w:p w14:paraId="0C798C20" w14:textId="75F7FAE9" w:rsidR="005B1DDA" w:rsidRDefault="006156F8" w:rsidP="0066515B">
      <w:pPr>
        <w:spacing w:after="0" w:line="240" w:lineRule="auto"/>
        <w:ind w:firstLine="720"/>
        <w:jc w:val="both"/>
        <w:rPr>
          <w:rFonts w:ascii="Cambria" w:hAnsi="Cambria" w:cs="Times New Roman"/>
        </w:rPr>
      </w:pPr>
      <w:r w:rsidRPr="00F03C4C">
        <w:rPr>
          <w:rFonts w:ascii="Cambria" w:hAnsi="Cambria" w:cs="Times New Roman"/>
        </w:rPr>
        <w:t xml:space="preserve">Kadar </w:t>
      </w:r>
      <w:proofErr w:type="spellStart"/>
      <w:r w:rsidRPr="00F03C4C">
        <w:rPr>
          <w:rFonts w:ascii="Cambria" w:hAnsi="Cambria" w:cs="Times New Roman"/>
        </w:rPr>
        <w:t>abu</w:t>
      </w:r>
      <w:proofErr w:type="spellEnd"/>
      <w:r w:rsidRPr="00F03C4C">
        <w:rPr>
          <w:rFonts w:ascii="Cambria" w:hAnsi="Cambria" w:cs="Times New Roman"/>
        </w:rPr>
        <w:t xml:space="preserve"> </w:t>
      </w:r>
      <w:proofErr w:type="spellStart"/>
      <w:r>
        <w:rPr>
          <w:rFonts w:ascii="Cambria" w:hAnsi="Cambria" w:cs="Times New Roman"/>
        </w:rPr>
        <w:t>biskuit</w:t>
      </w:r>
      <w:proofErr w:type="spellEnd"/>
      <w:r w:rsidRPr="00F03C4C">
        <w:rPr>
          <w:rFonts w:ascii="Cambria" w:hAnsi="Cambria" w:cs="Times New Roman"/>
        </w:rPr>
        <w:t xml:space="preserve"> F2 </w:t>
      </w:r>
      <w:proofErr w:type="spellStart"/>
      <w:r w:rsidRPr="00F03C4C">
        <w:rPr>
          <w:rFonts w:ascii="Cambria" w:hAnsi="Cambria" w:cs="Times New Roman"/>
        </w:rPr>
        <w:t>yaitu</w:t>
      </w:r>
      <w:proofErr w:type="spellEnd"/>
      <w:r w:rsidRPr="00F03C4C">
        <w:rPr>
          <w:rFonts w:ascii="Cambria" w:hAnsi="Cambria" w:cs="Times New Roman"/>
        </w:rPr>
        <w:t xml:space="preserve"> 1.43% (b/b). </w:t>
      </w:r>
      <w:r>
        <w:rPr>
          <w:rFonts w:ascii="Cambria" w:hAnsi="Cambria" w:cs="Times New Roman"/>
        </w:rPr>
        <w:t xml:space="preserve">Kadar </w:t>
      </w:r>
      <w:proofErr w:type="spellStart"/>
      <w:r>
        <w:rPr>
          <w:rFonts w:ascii="Cambria" w:hAnsi="Cambria" w:cs="Times New Roman"/>
        </w:rPr>
        <w:t>abu</w:t>
      </w:r>
      <w:proofErr w:type="spellEnd"/>
      <w:r>
        <w:rPr>
          <w:rFonts w:ascii="Cambria" w:hAnsi="Cambria" w:cs="Times New Roman"/>
        </w:rPr>
        <w:t xml:space="preserve"> </w:t>
      </w:r>
      <w:proofErr w:type="spellStart"/>
      <w:r>
        <w:rPr>
          <w:rFonts w:ascii="Cambria" w:hAnsi="Cambria" w:cs="Times New Roman"/>
        </w:rPr>
        <w:t>merupakan</w:t>
      </w:r>
      <w:proofErr w:type="spellEnd"/>
      <w:r>
        <w:rPr>
          <w:rFonts w:ascii="Cambria" w:hAnsi="Cambria" w:cs="Times New Roman"/>
        </w:rPr>
        <w:t xml:space="preserve"> </w:t>
      </w:r>
      <w:r w:rsidR="0070248B">
        <w:rPr>
          <w:rFonts w:ascii="Cambria" w:hAnsi="Cambria" w:cs="Times New Roman"/>
        </w:rPr>
        <w:t>parameter</w:t>
      </w:r>
      <w:r>
        <w:rPr>
          <w:rFonts w:ascii="Cambria" w:hAnsi="Cambria" w:cs="Times New Roman"/>
        </w:rPr>
        <w:t xml:space="preserve"> yang </w:t>
      </w:r>
      <w:proofErr w:type="spellStart"/>
      <w:r>
        <w:rPr>
          <w:rFonts w:ascii="Cambria" w:hAnsi="Cambria" w:cs="Times New Roman"/>
        </w:rPr>
        <w:t>menunjukkan</w:t>
      </w:r>
      <w:proofErr w:type="spellEnd"/>
      <w:r>
        <w:rPr>
          <w:rFonts w:ascii="Cambria" w:hAnsi="Cambria" w:cs="Times New Roman"/>
        </w:rPr>
        <w:t xml:space="preserve"> </w:t>
      </w:r>
      <w:proofErr w:type="spellStart"/>
      <w:r>
        <w:rPr>
          <w:rFonts w:ascii="Cambria" w:hAnsi="Cambria" w:cs="Times New Roman"/>
        </w:rPr>
        <w:t>kandungan</w:t>
      </w:r>
      <w:proofErr w:type="spellEnd"/>
      <w:r>
        <w:rPr>
          <w:rFonts w:ascii="Cambria" w:hAnsi="Cambria" w:cs="Times New Roman"/>
        </w:rPr>
        <w:t xml:space="preserve"> mineral </w:t>
      </w:r>
      <w:proofErr w:type="spellStart"/>
      <w:r>
        <w:rPr>
          <w:rFonts w:ascii="Cambria" w:hAnsi="Cambria" w:cs="Times New Roman"/>
        </w:rPr>
        <w:t>suatu</w:t>
      </w:r>
      <w:proofErr w:type="spellEnd"/>
      <w:r>
        <w:rPr>
          <w:rFonts w:ascii="Cambria" w:hAnsi="Cambria" w:cs="Times New Roman"/>
        </w:rPr>
        <w:t xml:space="preserve"> </w:t>
      </w:r>
      <w:proofErr w:type="spellStart"/>
      <w:r>
        <w:rPr>
          <w:rFonts w:ascii="Cambria" w:hAnsi="Cambria" w:cs="Times New Roman"/>
        </w:rPr>
        <w:t>produk</w:t>
      </w:r>
      <w:proofErr w:type="spellEnd"/>
      <w:r>
        <w:rPr>
          <w:rFonts w:ascii="Cambria" w:hAnsi="Cambria" w:cs="Times New Roman"/>
        </w:rPr>
        <w:t xml:space="preserve">. </w:t>
      </w:r>
      <w:proofErr w:type="spellStart"/>
      <w:r w:rsidR="00350FE3">
        <w:rPr>
          <w:rFonts w:ascii="Cambria" w:hAnsi="Cambria" w:cs="Times New Roman"/>
        </w:rPr>
        <w:t>K</w:t>
      </w:r>
      <w:r w:rsidR="00350FE3" w:rsidRPr="00F03C4C">
        <w:rPr>
          <w:rFonts w:ascii="Cambria" w:hAnsi="Cambria" w:cs="Times New Roman"/>
        </w:rPr>
        <w:t>andungan</w:t>
      </w:r>
      <w:proofErr w:type="spellEnd"/>
      <w:r w:rsidR="00350FE3" w:rsidRPr="00F03C4C">
        <w:rPr>
          <w:rFonts w:ascii="Cambria" w:hAnsi="Cambria" w:cs="Times New Roman"/>
        </w:rPr>
        <w:t xml:space="preserve"> mineral</w:t>
      </w:r>
      <w:r w:rsidR="0070248B">
        <w:rPr>
          <w:rFonts w:ascii="Cambria" w:hAnsi="Cambria" w:cs="Times New Roman"/>
        </w:rPr>
        <w:t xml:space="preserve"> </w:t>
      </w:r>
      <w:proofErr w:type="spellStart"/>
      <w:r w:rsidR="0070248B">
        <w:rPr>
          <w:rFonts w:ascii="Cambria" w:hAnsi="Cambria" w:cs="Times New Roman"/>
        </w:rPr>
        <w:t>suatu</w:t>
      </w:r>
      <w:proofErr w:type="spellEnd"/>
      <w:r w:rsidR="00350FE3" w:rsidRPr="00F03C4C">
        <w:rPr>
          <w:rFonts w:ascii="Cambria" w:hAnsi="Cambria" w:cs="Times New Roman"/>
        </w:rPr>
        <w:t xml:space="preserve"> </w:t>
      </w:r>
      <w:proofErr w:type="spellStart"/>
      <w:r w:rsidR="00350FE3">
        <w:rPr>
          <w:rFonts w:ascii="Cambria" w:hAnsi="Cambria" w:cs="Times New Roman"/>
        </w:rPr>
        <w:t>p</w:t>
      </w:r>
      <w:r w:rsidR="00F03C4C" w:rsidRPr="00F03C4C">
        <w:rPr>
          <w:rFonts w:ascii="Cambria" w:hAnsi="Cambria" w:cs="Times New Roman"/>
        </w:rPr>
        <w:t>roduk</w:t>
      </w:r>
      <w:proofErr w:type="spellEnd"/>
      <w:r w:rsidR="00F03C4C" w:rsidRPr="00F03C4C">
        <w:rPr>
          <w:rFonts w:ascii="Cambria" w:hAnsi="Cambria" w:cs="Times New Roman"/>
        </w:rPr>
        <w:t xml:space="preserve"> </w:t>
      </w:r>
      <w:proofErr w:type="spellStart"/>
      <w:r w:rsidR="00F03C4C" w:rsidRPr="00F03C4C">
        <w:rPr>
          <w:rFonts w:ascii="Cambria" w:hAnsi="Cambria" w:cs="Times New Roman"/>
        </w:rPr>
        <w:t>pangan</w:t>
      </w:r>
      <w:proofErr w:type="spellEnd"/>
      <w:r w:rsidR="0070248B">
        <w:rPr>
          <w:rFonts w:ascii="Cambria" w:hAnsi="Cambria" w:cs="Times New Roman"/>
        </w:rPr>
        <w:t xml:space="preserve"> </w:t>
      </w:r>
      <w:proofErr w:type="spellStart"/>
      <w:r w:rsidR="0070248B">
        <w:rPr>
          <w:rFonts w:ascii="Cambria" w:hAnsi="Cambria" w:cs="Times New Roman"/>
        </w:rPr>
        <w:t>olahan</w:t>
      </w:r>
      <w:proofErr w:type="spellEnd"/>
      <w:r w:rsidR="00F03C4C" w:rsidRPr="00F03C4C">
        <w:rPr>
          <w:rFonts w:ascii="Cambria" w:hAnsi="Cambria" w:cs="Times New Roman"/>
        </w:rPr>
        <w:t xml:space="preserve"> </w:t>
      </w:r>
      <w:proofErr w:type="spellStart"/>
      <w:r w:rsidR="00F03C4C" w:rsidRPr="00F03C4C">
        <w:rPr>
          <w:rFonts w:ascii="Cambria" w:hAnsi="Cambria" w:cs="Times New Roman"/>
        </w:rPr>
        <w:t>bergantung</w:t>
      </w:r>
      <w:proofErr w:type="spellEnd"/>
      <w:r w:rsidR="00F03C4C" w:rsidRPr="00F03C4C">
        <w:rPr>
          <w:rFonts w:ascii="Cambria" w:hAnsi="Cambria" w:cs="Times New Roman"/>
        </w:rPr>
        <w:t xml:space="preserve"> pada </w:t>
      </w:r>
      <w:proofErr w:type="spellStart"/>
      <w:r w:rsidR="00350FE3">
        <w:rPr>
          <w:rFonts w:ascii="Cambria" w:hAnsi="Cambria" w:cs="Times New Roman"/>
        </w:rPr>
        <w:t>komposisi</w:t>
      </w:r>
      <w:proofErr w:type="spellEnd"/>
      <w:r w:rsidR="00F03C4C" w:rsidRPr="00F03C4C">
        <w:rPr>
          <w:rFonts w:ascii="Cambria" w:hAnsi="Cambria" w:cs="Times New Roman"/>
        </w:rPr>
        <w:t xml:space="preserve"> </w:t>
      </w:r>
      <w:proofErr w:type="spellStart"/>
      <w:r w:rsidR="00F03C4C" w:rsidRPr="00F03C4C">
        <w:rPr>
          <w:rFonts w:ascii="Cambria" w:hAnsi="Cambria" w:cs="Times New Roman"/>
        </w:rPr>
        <w:t>bahan</w:t>
      </w:r>
      <w:proofErr w:type="spellEnd"/>
      <w:r w:rsidR="0070248B">
        <w:rPr>
          <w:rFonts w:ascii="Cambria" w:hAnsi="Cambria" w:cs="Times New Roman"/>
        </w:rPr>
        <w:t xml:space="preserve"> </w:t>
      </w:r>
      <w:proofErr w:type="spellStart"/>
      <w:r w:rsidR="0070248B">
        <w:rPr>
          <w:rFonts w:ascii="Cambria" w:hAnsi="Cambria" w:cs="Times New Roman"/>
        </w:rPr>
        <w:t>baku</w:t>
      </w:r>
      <w:proofErr w:type="spellEnd"/>
      <w:r w:rsidR="00F03C4C" w:rsidRPr="00F03C4C">
        <w:rPr>
          <w:rFonts w:ascii="Cambria" w:hAnsi="Cambria" w:cs="Times New Roman"/>
        </w:rPr>
        <w:t xml:space="preserve"> yang </w:t>
      </w:r>
      <w:proofErr w:type="spellStart"/>
      <w:r w:rsidR="00F03C4C" w:rsidRPr="00F03C4C">
        <w:rPr>
          <w:rFonts w:ascii="Cambria" w:hAnsi="Cambria" w:cs="Times New Roman"/>
        </w:rPr>
        <w:t>digunakan</w:t>
      </w:r>
      <w:proofErr w:type="spellEnd"/>
      <w:r w:rsidR="00F03C4C" w:rsidRPr="00F03C4C">
        <w:rPr>
          <w:rFonts w:ascii="Cambria" w:hAnsi="Cambria" w:cs="Times New Roman"/>
        </w:rPr>
        <w:t xml:space="preserve"> (</w:t>
      </w:r>
      <w:proofErr w:type="spellStart"/>
      <w:r w:rsidR="00F03C4C" w:rsidRPr="00F03C4C">
        <w:rPr>
          <w:rFonts w:ascii="Cambria" w:hAnsi="Cambria" w:cs="Times New Roman"/>
        </w:rPr>
        <w:t>Basito</w:t>
      </w:r>
      <w:proofErr w:type="spellEnd"/>
      <w:r w:rsidR="00F03C4C" w:rsidRPr="00F03C4C">
        <w:rPr>
          <w:rFonts w:ascii="Cambria" w:hAnsi="Cambria" w:cs="Times New Roman"/>
        </w:rPr>
        <w:t xml:space="preserve"> et al. 2012).</w:t>
      </w:r>
      <w:r w:rsidR="001C2FE5">
        <w:rPr>
          <w:rFonts w:ascii="Cambria" w:hAnsi="Cambria" w:cs="Times New Roman"/>
        </w:rPr>
        <w:t xml:space="preserve"> </w:t>
      </w:r>
      <w:r w:rsidR="00F03C4C" w:rsidRPr="00F03C4C">
        <w:rPr>
          <w:rFonts w:ascii="Cambria" w:hAnsi="Cambria" w:cs="Times New Roman"/>
        </w:rPr>
        <w:t xml:space="preserve">Kadar protein yang </w:t>
      </w:r>
      <w:proofErr w:type="spellStart"/>
      <w:r w:rsidR="00F03C4C" w:rsidRPr="00F03C4C">
        <w:rPr>
          <w:rFonts w:ascii="Cambria" w:hAnsi="Cambria" w:cs="Times New Roman"/>
        </w:rPr>
        <w:t>terdapat</w:t>
      </w:r>
      <w:proofErr w:type="spellEnd"/>
      <w:r w:rsidR="00F03C4C" w:rsidRPr="00F03C4C">
        <w:rPr>
          <w:rFonts w:ascii="Cambria" w:hAnsi="Cambria" w:cs="Times New Roman"/>
        </w:rPr>
        <w:t xml:space="preserve"> </w:t>
      </w:r>
      <w:proofErr w:type="spellStart"/>
      <w:r w:rsidR="00F03C4C" w:rsidRPr="00F03C4C">
        <w:rPr>
          <w:rFonts w:ascii="Cambria" w:hAnsi="Cambria" w:cs="Times New Roman"/>
        </w:rPr>
        <w:t>dalam</w:t>
      </w:r>
      <w:proofErr w:type="spellEnd"/>
      <w:r w:rsidR="00F03C4C" w:rsidRPr="00F03C4C">
        <w:rPr>
          <w:rFonts w:ascii="Cambria" w:hAnsi="Cambria" w:cs="Times New Roman"/>
        </w:rPr>
        <w:t xml:space="preserve"> </w:t>
      </w:r>
      <w:proofErr w:type="spellStart"/>
      <w:r w:rsidR="00F03C4C" w:rsidRPr="00F03C4C">
        <w:rPr>
          <w:rFonts w:ascii="Cambria" w:hAnsi="Cambria" w:cs="Times New Roman"/>
        </w:rPr>
        <w:t>biskuit</w:t>
      </w:r>
      <w:proofErr w:type="spellEnd"/>
      <w:r w:rsidR="00F03C4C" w:rsidRPr="00F03C4C">
        <w:rPr>
          <w:rFonts w:ascii="Cambria" w:hAnsi="Cambria" w:cs="Times New Roman"/>
        </w:rPr>
        <w:t xml:space="preserve"> </w:t>
      </w:r>
      <w:r w:rsidR="00F03C4C" w:rsidRPr="00F03C4C">
        <w:rPr>
          <w:rFonts w:ascii="Cambria" w:hAnsi="Cambria" w:cs="Times New Roman"/>
          <w:color w:val="000000" w:themeColor="text1"/>
        </w:rPr>
        <w:t xml:space="preserve">F2 </w:t>
      </w:r>
      <w:proofErr w:type="spellStart"/>
      <w:r w:rsidR="00F03C4C" w:rsidRPr="00F03C4C">
        <w:rPr>
          <w:rFonts w:ascii="Cambria" w:hAnsi="Cambria" w:cs="Times New Roman"/>
          <w:color w:val="000000" w:themeColor="text1"/>
        </w:rPr>
        <w:t>adalah</w:t>
      </w:r>
      <w:proofErr w:type="spellEnd"/>
      <w:r w:rsidR="00F03C4C" w:rsidRPr="00F03C4C">
        <w:rPr>
          <w:rFonts w:ascii="Cambria" w:hAnsi="Cambria" w:cs="Times New Roman"/>
          <w:color w:val="000000" w:themeColor="text1"/>
        </w:rPr>
        <w:t xml:space="preserve"> </w:t>
      </w:r>
      <w:proofErr w:type="spellStart"/>
      <w:r w:rsidR="00F03C4C" w:rsidRPr="00F03C4C">
        <w:rPr>
          <w:rFonts w:ascii="Cambria" w:hAnsi="Cambria" w:cs="Times New Roman"/>
          <w:color w:val="000000" w:themeColor="text1"/>
        </w:rPr>
        <w:t>sebesar</w:t>
      </w:r>
      <w:proofErr w:type="spellEnd"/>
      <w:r w:rsidR="00F03C4C" w:rsidRPr="00F03C4C">
        <w:rPr>
          <w:rFonts w:ascii="Cambria" w:hAnsi="Cambria" w:cs="Times New Roman"/>
          <w:color w:val="000000" w:themeColor="text1"/>
        </w:rPr>
        <w:t xml:space="preserve"> 6.82% (b/b). </w:t>
      </w:r>
      <w:proofErr w:type="spellStart"/>
      <w:r>
        <w:rPr>
          <w:rFonts w:ascii="Cambria" w:hAnsi="Cambria" w:cs="Times New Roman"/>
          <w:color w:val="000000" w:themeColor="text1"/>
        </w:rPr>
        <w:t>Jumlah</w:t>
      </w:r>
      <w:proofErr w:type="spellEnd"/>
      <w:r>
        <w:rPr>
          <w:rFonts w:ascii="Cambria" w:hAnsi="Cambria" w:cs="Times New Roman"/>
          <w:color w:val="000000" w:themeColor="text1"/>
        </w:rPr>
        <w:t xml:space="preserve"> </w:t>
      </w:r>
      <w:proofErr w:type="spellStart"/>
      <w:r>
        <w:rPr>
          <w:rFonts w:ascii="Cambria" w:hAnsi="Cambria" w:cs="Times New Roman"/>
          <w:color w:val="000000" w:themeColor="text1"/>
        </w:rPr>
        <w:t>tersebut</w:t>
      </w:r>
      <w:proofErr w:type="spellEnd"/>
      <w:r>
        <w:rPr>
          <w:rFonts w:ascii="Cambria" w:hAnsi="Cambria" w:cs="Times New Roman"/>
          <w:color w:val="000000" w:themeColor="text1"/>
        </w:rPr>
        <w:t xml:space="preserve"> </w:t>
      </w:r>
      <w:proofErr w:type="spellStart"/>
      <w:r>
        <w:rPr>
          <w:rFonts w:ascii="Cambria" w:hAnsi="Cambria" w:cs="Times New Roman"/>
          <w:color w:val="000000" w:themeColor="text1"/>
        </w:rPr>
        <w:t>telah</w:t>
      </w:r>
      <w:proofErr w:type="spellEnd"/>
      <w:r>
        <w:rPr>
          <w:rFonts w:ascii="Cambria" w:hAnsi="Cambria" w:cs="Times New Roman"/>
          <w:color w:val="000000" w:themeColor="text1"/>
        </w:rPr>
        <w:t xml:space="preserve"> </w:t>
      </w:r>
      <w:proofErr w:type="spellStart"/>
      <w:r>
        <w:rPr>
          <w:rFonts w:ascii="Cambria" w:hAnsi="Cambria" w:cs="Times New Roman"/>
          <w:color w:val="000000" w:themeColor="text1"/>
        </w:rPr>
        <w:t>memenuhi</w:t>
      </w:r>
      <w:proofErr w:type="spellEnd"/>
      <w:r>
        <w:rPr>
          <w:rFonts w:ascii="Cambria" w:hAnsi="Cambria" w:cs="Times New Roman"/>
          <w:color w:val="000000" w:themeColor="text1"/>
        </w:rPr>
        <w:t xml:space="preserve"> </w:t>
      </w:r>
      <w:proofErr w:type="spellStart"/>
      <w:r w:rsidR="0070248B">
        <w:rPr>
          <w:rFonts w:ascii="Cambria" w:hAnsi="Cambria" w:cs="Times New Roman"/>
          <w:color w:val="000000" w:themeColor="text1"/>
        </w:rPr>
        <w:t>standar</w:t>
      </w:r>
      <w:proofErr w:type="spellEnd"/>
      <w:r>
        <w:rPr>
          <w:rFonts w:ascii="Cambria" w:hAnsi="Cambria" w:cs="Times New Roman"/>
          <w:color w:val="000000" w:themeColor="text1"/>
        </w:rPr>
        <w:t xml:space="preserve"> </w:t>
      </w:r>
      <w:proofErr w:type="spellStart"/>
      <w:r w:rsidR="00F03C4C" w:rsidRPr="00F03C4C">
        <w:rPr>
          <w:rFonts w:ascii="Cambria" w:hAnsi="Cambria" w:cs="Times New Roman"/>
          <w:color w:val="000000" w:themeColor="text1"/>
        </w:rPr>
        <w:t>mutu</w:t>
      </w:r>
      <w:proofErr w:type="spellEnd"/>
      <w:r w:rsidR="00F03C4C" w:rsidRPr="00F03C4C">
        <w:rPr>
          <w:rFonts w:ascii="Cambria" w:hAnsi="Cambria" w:cs="Times New Roman"/>
          <w:color w:val="000000" w:themeColor="text1"/>
        </w:rPr>
        <w:t xml:space="preserve"> </w:t>
      </w:r>
      <w:r>
        <w:rPr>
          <w:rFonts w:ascii="Cambria" w:hAnsi="Cambria" w:cs="Times New Roman"/>
          <w:color w:val="000000" w:themeColor="text1"/>
        </w:rPr>
        <w:t xml:space="preserve">biscuit </w:t>
      </w:r>
      <w:proofErr w:type="spellStart"/>
      <w:r>
        <w:rPr>
          <w:rFonts w:ascii="Cambria" w:hAnsi="Cambria" w:cs="Times New Roman"/>
          <w:color w:val="000000" w:themeColor="text1"/>
        </w:rPr>
        <w:t>berdasarkan</w:t>
      </w:r>
      <w:proofErr w:type="spellEnd"/>
      <w:r>
        <w:rPr>
          <w:rFonts w:ascii="Cambria" w:hAnsi="Cambria" w:cs="Times New Roman"/>
          <w:color w:val="000000" w:themeColor="text1"/>
        </w:rPr>
        <w:t xml:space="preserve"> SNI</w:t>
      </w:r>
      <w:r w:rsidR="00F03C4C" w:rsidRPr="00F03C4C">
        <w:rPr>
          <w:rFonts w:ascii="Cambria" w:hAnsi="Cambria" w:cs="Times New Roman"/>
          <w:color w:val="000000" w:themeColor="text1"/>
        </w:rPr>
        <w:t>.</w:t>
      </w:r>
      <w:r w:rsidR="001C2FE5">
        <w:rPr>
          <w:rFonts w:ascii="Cambria" w:hAnsi="Cambria" w:cs="Times New Roman"/>
          <w:color w:val="000000" w:themeColor="text1"/>
        </w:rPr>
        <w:t xml:space="preserve"> </w:t>
      </w:r>
      <w:r w:rsidRPr="00F03C4C">
        <w:rPr>
          <w:rFonts w:ascii="Cambria" w:hAnsi="Cambria" w:cs="Times New Roman"/>
        </w:rPr>
        <w:t xml:space="preserve">Kadar lemak yang </w:t>
      </w:r>
      <w:proofErr w:type="spellStart"/>
      <w:r w:rsidRPr="00F03C4C">
        <w:rPr>
          <w:rFonts w:ascii="Cambria" w:hAnsi="Cambria" w:cs="Times New Roman"/>
        </w:rPr>
        <w:t>terdapat</w:t>
      </w:r>
      <w:proofErr w:type="spellEnd"/>
      <w:r w:rsidRPr="00F03C4C">
        <w:rPr>
          <w:rFonts w:ascii="Cambria" w:hAnsi="Cambria" w:cs="Times New Roman"/>
        </w:rPr>
        <w:t xml:space="preserve"> </w:t>
      </w:r>
      <w:proofErr w:type="spellStart"/>
      <w:r w:rsidRPr="00F03C4C">
        <w:rPr>
          <w:rFonts w:ascii="Cambria" w:hAnsi="Cambria" w:cs="Times New Roman"/>
        </w:rPr>
        <w:t>dalam</w:t>
      </w:r>
      <w:proofErr w:type="spellEnd"/>
      <w:r w:rsidRPr="00F03C4C">
        <w:rPr>
          <w:rFonts w:ascii="Cambria" w:hAnsi="Cambria" w:cs="Times New Roman"/>
        </w:rPr>
        <w:t xml:space="preserve"> </w:t>
      </w:r>
      <w:proofErr w:type="spellStart"/>
      <w:r w:rsidRPr="00F03C4C">
        <w:rPr>
          <w:rFonts w:ascii="Cambria" w:hAnsi="Cambria" w:cs="Times New Roman"/>
        </w:rPr>
        <w:t>biskuit</w:t>
      </w:r>
      <w:proofErr w:type="spellEnd"/>
      <w:r w:rsidRPr="00F03C4C">
        <w:rPr>
          <w:rFonts w:ascii="Cambria" w:hAnsi="Cambria" w:cs="Times New Roman"/>
        </w:rPr>
        <w:t xml:space="preserve"> F2 </w:t>
      </w:r>
      <w:proofErr w:type="spellStart"/>
      <w:r w:rsidRPr="00F03C4C">
        <w:rPr>
          <w:rFonts w:ascii="Cambria" w:hAnsi="Cambria" w:cs="Times New Roman"/>
        </w:rPr>
        <w:t>adalah</w:t>
      </w:r>
      <w:proofErr w:type="spellEnd"/>
      <w:r w:rsidRPr="00F03C4C">
        <w:rPr>
          <w:rFonts w:ascii="Cambria" w:hAnsi="Cambria" w:cs="Times New Roman"/>
        </w:rPr>
        <w:t xml:space="preserve"> </w:t>
      </w:r>
      <w:proofErr w:type="spellStart"/>
      <w:r w:rsidRPr="00F03C4C">
        <w:rPr>
          <w:rFonts w:ascii="Cambria" w:hAnsi="Cambria" w:cs="Times New Roman"/>
        </w:rPr>
        <w:t>sebesar</w:t>
      </w:r>
      <w:proofErr w:type="spellEnd"/>
      <w:r w:rsidRPr="00F03C4C">
        <w:rPr>
          <w:rFonts w:ascii="Cambria" w:hAnsi="Cambria" w:cs="Times New Roman"/>
        </w:rPr>
        <w:t xml:space="preserve"> 13.55% (b/b). </w:t>
      </w:r>
      <w:proofErr w:type="spellStart"/>
      <w:r w:rsidR="00F03C4C" w:rsidRPr="00F03C4C">
        <w:rPr>
          <w:rFonts w:ascii="Cambria" w:hAnsi="Cambria" w:cs="Times New Roman"/>
        </w:rPr>
        <w:t>Sumber</w:t>
      </w:r>
      <w:proofErr w:type="spellEnd"/>
      <w:r w:rsidR="00F03C4C" w:rsidRPr="00F03C4C">
        <w:rPr>
          <w:rFonts w:ascii="Cambria" w:hAnsi="Cambria" w:cs="Times New Roman"/>
        </w:rPr>
        <w:t xml:space="preserve"> lemak pada </w:t>
      </w:r>
      <w:proofErr w:type="spellStart"/>
      <w:r w:rsidR="00F03C4C" w:rsidRPr="00F03C4C">
        <w:rPr>
          <w:rFonts w:ascii="Cambria" w:hAnsi="Cambria" w:cs="Times New Roman"/>
        </w:rPr>
        <w:t>biskuit</w:t>
      </w:r>
      <w:proofErr w:type="spellEnd"/>
      <w:r w:rsidR="00F03C4C" w:rsidRPr="00F03C4C">
        <w:rPr>
          <w:rFonts w:ascii="Cambria" w:hAnsi="Cambria" w:cs="Times New Roman"/>
        </w:rPr>
        <w:t xml:space="preserve"> </w:t>
      </w:r>
      <w:proofErr w:type="spellStart"/>
      <w:r w:rsidR="00F03C4C" w:rsidRPr="00F03C4C">
        <w:rPr>
          <w:rFonts w:ascii="Cambria" w:hAnsi="Cambria" w:cs="Times New Roman"/>
        </w:rPr>
        <w:t>berasal</w:t>
      </w:r>
      <w:proofErr w:type="spellEnd"/>
      <w:r w:rsidR="00F03C4C" w:rsidRPr="00F03C4C">
        <w:rPr>
          <w:rFonts w:ascii="Cambria" w:hAnsi="Cambria" w:cs="Times New Roman"/>
        </w:rPr>
        <w:t xml:space="preserve"> </w:t>
      </w:r>
      <w:proofErr w:type="spellStart"/>
      <w:r w:rsidR="00F03C4C" w:rsidRPr="00F03C4C">
        <w:rPr>
          <w:rFonts w:ascii="Cambria" w:hAnsi="Cambria" w:cs="Times New Roman"/>
        </w:rPr>
        <w:t>dari</w:t>
      </w:r>
      <w:proofErr w:type="spellEnd"/>
      <w:r w:rsidR="00F03C4C" w:rsidRPr="00F03C4C">
        <w:rPr>
          <w:rFonts w:ascii="Cambria" w:hAnsi="Cambria" w:cs="Times New Roman"/>
        </w:rPr>
        <w:t xml:space="preserve"> </w:t>
      </w:r>
      <w:proofErr w:type="spellStart"/>
      <w:r w:rsidR="0070248B">
        <w:rPr>
          <w:rFonts w:ascii="Cambria" w:hAnsi="Cambria" w:cs="Times New Roman"/>
        </w:rPr>
        <w:t>bahan</w:t>
      </w:r>
      <w:proofErr w:type="spellEnd"/>
      <w:r w:rsidR="0070248B">
        <w:rPr>
          <w:rFonts w:ascii="Cambria" w:hAnsi="Cambria" w:cs="Times New Roman"/>
        </w:rPr>
        <w:t xml:space="preserve"> </w:t>
      </w:r>
      <w:proofErr w:type="spellStart"/>
      <w:r w:rsidR="0070248B">
        <w:rPr>
          <w:rFonts w:ascii="Cambria" w:hAnsi="Cambria" w:cs="Times New Roman"/>
        </w:rPr>
        <w:t>baku</w:t>
      </w:r>
      <w:proofErr w:type="spellEnd"/>
      <w:r w:rsidR="0070248B">
        <w:rPr>
          <w:rFonts w:ascii="Cambria" w:hAnsi="Cambria" w:cs="Times New Roman"/>
        </w:rPr>
        <w:t xml:space="preserve"> </w:t>
      </w:r>
      <w:proofErr w:type="spellStart"/>
      <w:r w:rsidR="0070248B">
        <w:rPr>
          <w:rFonts w:ascii="Cambria" w:hAnsi="Cambria" w:cs="Times New Roman"/>
        </w:rPr>
        <w:t>berupa</w:t>
      </w:r>
      <w:proofErr w:type="spellEnd"/>
      <w:r w:rsidR="0070248B">
        <w:rPr>
          <w:rFonts w:ascii="Cambria" w:hAnsi="Cambria" w:cs="Times New Roman"/>
        </w:rPr>
        <w:t xml:space="preserve"> </w:t>
      </w:r>
      <w:r w:rsidR="00F03C4C" w:rsidRPr="00F03C4C">
        <w:rPr>
          <w:rFonts w:ascii="Cambria" w:hAnsi="Cambria" w:cs="Times New Roman"/>
        </w:rPr>
        <w:t xml:space="preserve">margarin dan </w:t>
      </w:r>
      <w:proofErr w:type="spellStart"/>
      <w:r w:rsidR="00F03C4C" w:rsidRPr="00F03C4C">
        <w:rPr>
          <w:rFonts w:ascii="Cambria" w:hAnsi="Cambria" w:cs="Times New Roman"/>
        </w:rPr>
        <w:t>kuning</w:t>
      </w:r>
      <w:proofErr w:type="spellEnd"/>
      <w:r w:rsidR="00F03C4C" w:rsidRPr="00F03C4C">
        <w:rPr>
          <w:rFonts w:ascii="Cambria" w:hAnsi="Cambria" w:cs="Times New Roman"/>
        </w:rPr>
        <w:t xml:space="preserve"> </w:t>
      </w:r>
      <w:proofErr w:type="spellStart"/>
      <w:r w:rsidR="00F03C4C" w:rsidRPr="00F03C4C">
        <w:rPr>
          <w:rFonts w:ascii="Cambria" w:hAnsi="Cambria" w:cs="Times New Roman"/>
        </w:rPr>
        <w:t>telur</w:t>
      </w:r>
      <w:proofErr w:type="spellEnd"/>
      <w:r w:rsidR="00F03C4C" w:rsidRPr="00F03C4C">
        <w:rPr>
          <w:rFonts w:ascii="Cambria" w:hAnsi="Cambria" w:cs="Times New Roman"/>
        </w:rPr>
        <w:t xml:space="preserve">. Kadar </w:t>
      </w:r>
      <w:proofErr w:type="spellStart"/>
      <w:r w:rsidR="00F03C4C" w:rsidRPr="00F03C4C">
        <w:rPr>
          <w:rFonts w:ascii="Cambria" w:hAnsi="Cambria" w:cs="Times New Roman"/>
        </w:rPr>
        <w:t>karbohidrat</w:t>
      </w:r>
      <w:proofErr w:type="spellEnd"/>
      <w:r w:rsidR="00F03C4C" w:rsidRPr="00F03C4C">
        <w:rPr>
          <w:rFonts w:ascii="Cambria" w:hAnsi="Cambria" w:cs="Times New Roman"/>
        </w:rPr>
        <w:t xml:space="preserve"> yang </w:t>
      </w:r>
      <w:proofErr w:type="spellStart"/>
      <w:r w:rsidR="00F03C4C" w:rsidRPr="001C2FE5">
        <w:rPr>
          <w:rFonts w:ascii="Cambria" w:hAnsi="Cambria" w:cs="Times New Roman"/>
        </w:rPr>
        <w:t>terdapat</w:t>
      </w:r>
      <w:proofErr w:type="spellEnd"/>
      <w:r w:rsidR="001C2FE5" w:rsidRPr="001C2FE5">
        <w:rPr>
          <w:rFonts w:ascii="Cambria" w:hAnsi="Cambria" w:cs="Times New Roman"/>
        </w:rPr>
        <w:t xml:space="preserve"> pada </w:t>
      </w:r>
      <w:proofErr w:type="spellStart"/>
      <w:r w:rsidR="00F03C4C" w:rsidRPr="001C2FE5">
        <w:rPr>
          <w:rFonts w:ascii="Cambria" w:hAnsi="Cambria" w:cs="Times New Roman"/>
        </w:rPr>
        <w:t>biskuit</w:t>
      </w:r>
      <w:proofErr w:type="spellEnd"/>
      <w:r w:rsidR="00F03C4C" w:rsidRPr="001C2FE5">
        <w:rPr>
          <w:rFonts w:ascii="Cambria" w:hAnsi="Cambria" w:cs="Times New Roman"/>
        </w:rPr>
        <w:t xml:space="preserve"> F2 </w:t>
      </w:r>
      <w:proofErr w:type="spellStart"/>
      <w:r w:rsidR="00F03C4C" w:rsidRPr="001C2FE5">
        <w:rPr>
          <w:rFonts w:ascii="Cambria" w:hAnsi="Cambria" w:cs="Times New Roman"/>
        </w:rPr>
        <w:t>adalah</w:t>
      </w:r>
      <w:proofErr w:type="spellEnd"/>
      <w:r w:rsidR="00F03C4C" w:rsidRPr="001C2FE5">
        <w:rPr>
          <w:rFonts w:ascii="Cambria" w:hAnsi="Cambria" w:cs="Times New Roman"/>
        </w:rPr>
        <w:t xml:space="preserve"> </w:t>
      </w:r>
      <w:proofErr w:type="spellStart"/>
      <w:r w:rsidR="00F03C4C" w:rsidRPr="001C2FE5">
        <w:rPr>
          <w:rFonts w:ascii="Cambria" w:hAnsi="Cambria" w:cs="Times New Roman"/>
        </w:rPr>
        <w:t>sebesar</w:t>
      </w:r>
      <w:proofErr w:type="spellEnd"/>
      <w:r w:rsidR="00F03C4C" w:rsidRPr="001C2FE5">
        <w:rPr>
          <w:rFonts w:ascii="Cambria" w:hAnsi="Cambria" w:cs="Times New Roman"/>
        </w:rPr>
        <w:t xml:space="preserve"> 74.64% (b/b). </w:t>
      </w:r>
    </w:p>
    <w:p w14:paraId="0F90330C" w14:textId="22F83D4D" w:rsidR="005B1DDA" w:rsidRDefault="00F03C4C" w:rsidP="0066515B">
      <w:pPr>
        <w:spacing w:after="0" w:line="240" w:lineRule="auto"/>
        <w:ind w:firstLine="720"/>
        <w:jc w:val="both"/>
        <w:rPr>
          <w:rFonts w:ascii="Cambria" w:eastAsia="Candara" w:hAnsi="Cambria" w:cs="Times New Roman"/>
        </w:rPr>
      </w:pPr>
      <w:proofErr w:type="spellStart"/>
      <w:r w:rsidRPr="001C2FE5">
        <w:rPr>
          <w:rFonts w:ascii="Cambria" w:hAnsi="Cambria" w:cs="Times New Roman"/>
        </w:rPr>
        <w:t>Kandungan</w:t>
      </w:r>
      <w:proofErr w:type="spellEnd"/>
      <w:r w:rsidRPr="001C2FE5">
        <w:rPr>
          <w:rFonts w:ascii="Cambria" w:hAnsi="Cambria" w:cs="Times New Roman"/>
        </w:rPr>
        <w:t xml:space="preserve"> </w:t>
      </w:r>
      <w:proofErr w:type="spellStart"/>
      <w:r w:rsidRPr="001C2FE5">
        <w:rPr>
          <w:rFonts w:ascii="Cambria" w:hAnsi="Cambria" w:cs="Times New Roman"/>
        </w:rPr>
        <w:t>energi</w:t>
      </w:r>
      <w:proofErr w:type="spellEnd"/>
      <w:r w:rsidRPr="001C2FE5">
        <w:rPr>
          <w:rFonts w:ascii="Cambria" w:hAnsi="Cambria" w:cs="Times New Roman"/>
        </w:rPr>
        <w:t xml:space="preserve"> pada </w:t>
      </w:r>
      <w:proofErr w:type="spellStart"/>
      <w:r w:rsidRPr="001C2FE5">
        <w:rPr>
          <w:rFonts w:ascii="Cambria" w:hAnsi="Cambria" w:cs="Times New Roman"/>
        </w:rPr>
        <w:t>bis</w:t>
      </w:r>
      <w:r w:rsidR="001C2FE5" w:rsidRPr="001C2FE5">
        <w:rPr>
          <w:rFonts w:ascii="Cambria" w:hAnsi="Cambria" w:cs="Times New Roman"/>
        </w:rPr>
        <w:t>k</w:t>
      </w:r>
      <w:r w:rsidRPr="001C2FE5">
        <w:rPr>
          <w:rFonts w:ascii="Cambria" w:hAnsi="Cambria" w:cs="Times New Roman"/>
        </w:rPr>
        <w:t>uit</w:t>
      </w:r>
      <w:proofErr w:type="spellEnd"/>
      <w:r w:rsidRPr="001C2FE5">
        <w:rPr>
          <w:rFonts w:ascii="Cambria" w:hAnsi="Cambria" w:cs="Times New Roman"/>
        </w:rPr>
        <w:t xml:space="preserve"> F2 </w:t>
      </w:r>
      <w:proofErr w:type="spellStart"/>
      <w:r w:rsidRPr="001C2FE5">
        <w:rPr>
          <w:rFonts w:ascii="Cambria" w:hAnsi="Cambria" w:cs="Times New Roman"/>
        </w:rPr>
        <w:t>adalah</w:t>
      </w:r>
      <w:proofErr w:type="spellEnd"/>
      <w:r w:rsidRPr="001C2FE5">
        <w:rPr>
          <w:rFonts w:ascii="Cambria" w:hAnsi="Cambria" w:cs="Times New Roman"/>
        </w:rPr>
        <w:t xml:space="preserve"> </w:t>
      </w:r>
      <w:proofErr w:type="spellStart"/>
      <w:r w:rsidRPr="001C2FE5">
        <w:rPr>
          <w:rFonts w:ascii="Cambria" w:hAnsi="Cambria" w:cs="Times New Roman"/>
        </w:rPr>
        <w:t>sebesar</w:t>
      </w:r>
      <w:proofErr w:type="spellEnd"/>
      <w:r w:rsidRPr="001C2FE5">
        <w:rPr>
          <w:rFonts w:ascii="Cambria" w:hAnsi="Cambria" w:cs="Times New Roman"/>
        </w:rPr>
        <w:t xml:space="preserve"> 447 Kal per 100gram. </w:t>
      </w:r>
      <w:proofErr w:type="spellStart"/>
      <w:r w:rsidRPr="001C2FE5">
        <w:rPr>
          <w:rFonts w:ascii="Cambria" w:hAnsi="Cambria" w:cs="Times New Roman"/>
        </w:rPr>
        <w:t>Kandungan</w:t>
      </w:r>
      <w:proofErr w:type="spellEnd"/>
      <w:r w:rsidRPr="001C2FE5">
        <w:rPr>
          <w:rFonts w:ascii="Cambria" w:hAnsi="Cambria" w:cs="Times New Roman"/>
        </w:rPr>
        <w:t xml:space="preserve"> </w:t>
      </w:r>
      <w:proofErr w:type="spellStart"/>
      <w:r w:rsidRPr="001C2FE5">
        <w:rPr>
          <w:rFonts w:ascii="Cambria" w:hAnsi="Cambria" w:cs="Times New Roman"/>
        </w:rPr>
        <w:t>serat</w:t>
      </w:r>
      <w:proofErr w:type="spellEnd"/>
      <w:r w:rsidRPr="001C2FE5">
        <w:rPr>
          <w:rFonts w:ascii="Cambria" w:hAnsi="Cambria" w:cs="Times New Roman"/>
        </w:rPr>
        <w:t xml:space="preserve"> </w:t>
      </w:r>
      <w:proofErr w:type="spellStart"/>
      <w:r w:rsidRPr="001C2FE5">
        <w:rPr>
          <w:rFonts w:ascii="Cambria" w:hAnsi="Cambria" w:cs="Times New Roman"/>
        </w:rPr>
        <w:t>kasar</w:t>
      </w:r>
      <w:proofErr w:type="spellEnd"/>
      <w:r w:rsidRPr="001C2FE5">
        <w:rPr>
          <w:rFonts w:ascii="Cambria" w:hAnsi="Cambria" w:cs="Times New Roman"/>
        </w:rPr>
        <w:t xml:space="preserve"> pada </w:t>
      </w:r>
      <w:proofErr w:type="spellStart"/>
      <w:r w:rsidR="0063512D">
        <w:rPr>
          <w:rFonts w:ascii="Cambria" w:hAnsi="Cambria" w:cs="Times New Roman"/>
        </w:rPr>
        <w:t>biskuit</w:t>
      </w:r>
      <w:proofErr w:type="spellEnd"/>
      <w:r w:rsidRPr="001C2FE5">
        <w:rPr>
          <w:rFonts w:ascii="Cambria" w:hAnsi="Cambria" w:cs="Times New Roman"/>
        </w:rPr>
        <w:t xml:space="preserve"> F2 </w:t>
      </w:r>
      <w:proofErr w:type="spellStart"/>
      <w:r w:rsidRPr="001C2FE5">
        <w:rPr>
          <w:rFonts w:ascii="Cambria" w:hAnsi="Cambria" w:cs="Times New Roman"/>
        </w:rPr>
        <w:t>adalah</w:t>
      </w:r>
      <w:proofErr w:type="spellEnd"/>
      <w:r w:rsidRPr="001C2FE5">
        <w:rPr>
          <w:rFonts w:ascii="Cambria" w:hAnsi="Cambria" w:cs="Times New Roman"/>
        </w:rPr>
        <w:t xml:space="preserve"> 1.1% (b/b)</w:t>
      </w:r>
      <w:r w:rsidR="001C2FE5" w:rsidRPr="001C2FE5">
        <w:rPr>
          <w:rFonts w:ascii="Cambria" w:eastAsia="Candara" w:hAnsi="Cambria" w:cs="Times New Roman"/>
        </w:rPr>
        <w:t>.</w:t>
      </w:r>
      <w:r w:rsidR="005B1DDA">
        <w:rPr>
          <w:rFonts w:ascii="Cambria" w:eastAsia="Candara" w:hAnsi="Cambria" w:cs="Times New Roman"/>
        </w:rPr>
        <w:t xml:space="preserve"> </w:t>
      </w:r>
      <w:proofErr w:type="spellStart"/>
      <w:r w:rsidR="005B1DDA">
        <w:rPr>
          <w:rFonts w:ascii="Cambria" w:eastAsia="Candara" w:hAnsi="Cambria" w:cs="Times New Roman"/>
        </w:rPr>
        <w:t>jumlah</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kandungan</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energi</w:t>
      </w:r>
      <w:proofErr w:type="spellEnd"/>
      <w:r w:rsidR="005B1DDA">
        <w:rPr>
          <w:rFonts w:ascii="Cambria" w:eastAsia="Candara" w:hAnsi="Cambria" w:cs="Times New Roman"/>
        </w:rPr>
        <w:t xml:space="preserve"> yang </w:t>
      </w:r>
      <w:proofErr w:type="spellStart"/>
      <w:r w:rsidR="005B1DDA">
        <w:rPr>
          <w:rFonts w:ascii="Cambria" w:eastAsia="Candara" w:hAnsi="Cambria" w:cs="Times New Roman"/>
        </w:rPr>
        <w:t>cukup</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tinggi</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memberikan</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konsekuensi</w:t>
      </w:r>
      <w:proofErr w:type="spellEnd"/>
      <w:r w:rsidR="005B1DDA">
        <w:rPr>
          <w:rFonts w:ascii="Cambria" w:eastAsia="Candara" w:hAnsi="Cambria" w:cs="Times New Roman"/>
        </w:rPr>
        <w:t xml:space="preserve"> pada </w:t>
      </w:r>
      <w:proofErr w:type="spellStart"/>
      <w:r w:rsidR="005B1DDA">
        <w:rPr>
          <w:rFonts w:ascii="Cambria" w:eastAsia="Candara" w:hAnsi="Cambria" w:cs="Times New Roman"/>
        </w:rPr>
        <w:t>takaran</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saji</w:t>
      </w:r>
      <w:proofErr w:type="spellEnd"/>
      <w:r w:rsidR="005B1DDA">
        <w:rPr>
          <w:rFonts w:ascii="Cambria" w:eastAsia="Candara" w:hAnsi="Cambria" w:cs="Times New Roman"/>
        </w:rPr>
        <w:t xml:space="preserve"> yang </w:t>
      </w:r>
      <w:proofErr w:type="spellStart"/>
      <w:r w:rsidR="005B1DDA">
        <w:rPr>
          <w:rFonts w:ascii="Cambria" w:eastAsia="Candara" w:hAnsi="Cambria" w:cs="Times New Roman"/>
        </w:rPr>
        <w:t>lebih</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sedikit</w:t>
      </w:r>
      <w:proofErr w:type="spellEnd"/>
      <w:r w:rsidR="005B1DDA">
        <w:rPr>
          <w:rFonts w:ascii="Cambria" w:eastAsia="Candara" w:hAnsi="Cambria" w:cs="Times New Roman"/>
        </w:rPr>
        <w:t xml:space="preserve">. Hal </w:t>
      </w:r>
      <w:proofErr w:type="spellStart"/>
      <w:r w:rsidR="005B1DDA">
        <w:rPr>
          <w:rFonts w:ascii="Cambria" w:eastAsia="Candara" w:hAnsi="Cambria" w:cs="Times New Roman"/>
        </w:rPr>
        <w:t>ini</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karena</w:t>
      </w:r>
      <w:proofErr w:type="spellEnd"/>
      <w:r w:rsidR="005B1DDA">
        <w:rPr>
          <w:rFonts w:ascii="Cambria" w:eastAsia="Candara" w:hAnsi="Cambria" w:cs="Times New Roman"/>
        </w:rPr>
        <w:t xml:space="preserve"> biscuit </w:t>
      </w:r>
      <w:proofErr w:type="spellStart"/>
      <w:r w:rsidR="005B1DDA">
        <w:rPr>
          <w:rFonts w:ascii="Cambria" w:eastAsia="Candara" w:hAnsi="Cambria" w:cs="Times New Roman"/>
        </w:rPr>
        <w:t>rempah</w:t>
      </w:r>
      <w:proofErr w:type="spellEnd"/>
      <w:r w:rsidR="005B1DDA">
        <w:rPr>
          <w:rFonts w:ascii="Cambria" w:eastAsia="Candara" w:hAnsi="Cambria" w:cs="Times New Roman"/>
        </w:rPr>
        <w:t xml:space="preserve"> yang </w:t>
      </w:r>
      <w:proofErr w:type="spellStart"/>
      <w:r w:rsidR="005B1DDA">
        <w:rPr>
          <w:rFonts w:ascii="Cambria" w:eastAsia="Candara" w:hAnsi="Cambria" w:cs="Times New Roman"/>
        </w:rPr>
        <w:t>dihasilkan</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ditujukan</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sebagai</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makanan</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kudapan</w:t>
      </w:r>
      <w:proofErr w:type="spellEnd"/>
      <w:r w:rsidR="005B1DDA">
        <w:rPr>
          <w:rFonts w:ascii="Cambria" w:eastAsia="Candara" w:hAnsi="Cambria" w:cs="Times New Roman"/>
        </w:rPr>
        <w:t xml:space="preserve"> yang </w:t>
      </w:r>
      <w:proofErr w:type="spellStart"/>
      <w:r w:rsidR="005B1DDA">
        <w:rPr>
          <w:rFonts w:ascii="Cambria" w:eastAsia="Candara" w:hAnsi="Cambria" w:cs="Times New Roman"/>
        </w:rPr>
        <w:t>memberikan</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energi</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sekitar</w:t>
      </w:r>
      <w:proofErr w:type="spellEnd"/>
      <w:r w:rsidR="005B1DDA">
        <w:rPr>
          <w:rFonts w:ascii="Cambria" w:eastAsia="Candara" w:hAnsi="Cambria" w:cs="Times New Roman"/>
        </w:rPr>
        <w:t xml:space="preserve"> 10-15% </w:t>
      </w:r>
      <w:proofErr w:type="spellStart"/>
      <w:r w:rsidR="005B1DDA">
        <w:rPr>
          <w:rFonts w:ascii="Cambria" w:eastAsia="Candara" w:hAnsi="Cambria" w:cs="Times New Roman"/>
        </w:rPr>
        <w:t>dari</w:t>
      </w:r>
      <w:proofErr w:type="spellEnd"/>
      <w:r w:rsidR="005B1DDA">
        <w:rPr>
          <w:rFonts w:ascii="Cambria" w:eastAsia="Candara" w:hAnsi="Cambria" w:cs="Times New Roman"/>
        </w:rPr>
        <w:t xml:space="preserve"> total </w:t>
      </w:r>
      <w:proofErr w:type="spellStart"/>
      <w:r w:rsidR="005B1DDA">
        <w:rPr>
          <w:rFonts w:ascii="Cambria" w:eastAsia="Candara" w:hAnsi="Cambria" w:cs="Times New Roman"/>
        </w:rPr>
        <w:t>kebutuhan</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energi</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harian</w:t>
      </w:r>
      <w:proofErr w:type="spellEnd"/>
      <w:r w:rsidR="005B1DDA">
        <w:rPr>
          <w:rFonts w:ascii="Cambria" w:eastAsia="Candara" w:hAnsi="Cambria" w:cs="Times New Roman"/>
        </w:rPr>
        <w:t xml:space="preserve">. Jika </w:t>
      </w:r>
      <w:proofErr w:type="spellStart"/>
      <w:r w:rsidR="005B1DDA">
        <w:rPr>
          <w:rFonts w:ascii="Cambria" w:eastAsia="Candara" w:hAnsi="Cambria" w:cs="Times New Roman"/>
        </w:rPr>
        <w:t>kebutuhan</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energi</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harian</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sebesar</w:t>
      </w:r>
      <w:proofErr w:type="spellEnd"/>
      <w:r w:rsidR="005B1DDA">
        <w:rPr>
          <w:rFonts w:ascii="Cambria" w:eastAsia="Candara" w:hAnsi="Cambria" w:cs="Times New Roman"/>
        </w:rPr>
        <w:t xml:space="preserve"> 2000 </w:t>
      </w:r>
      <w:proofErr w:type="spellStart"/>
      <w:r w:rsidR="005B1DDA">
        <w:rPr>
          <w:rFonts w:ascii="Cambria" w:eastAsia="Candara" w:hAnsi="Cambria" w:cs="Times New Roman"/>
        </w:rPr>
        <w:t>kkal</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maka</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disarankan</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kalori</w:t>
      </w:r>
      <w:proofErr w:type="spellEnd"/>
      <w:r w:rsidR="005B1DDA">
        <w:rPr>
          <w:rFonts w:ascii="Cambria" w:eastAsia="Candara" w:hAnsi="Cambria" w:cs="Times New Roman"/>
        </w:rPr>
        <w:t xml:space="preserve"> yang </w:t>
      </w:r>
      <w:proofErr w:type="spellStart"/>
      <w:r w:rsidR="005B1DDA">
        <w:rPr>
          <w:rFonts w:ascii="Cambria" w:eastAsia="Candara" w:hAnsi="Cambria" w:cs="Times New Roman"/>
        </w:rPr>
        <w:t>terkandung</w:t>
      </w:r>
      <w:proofErr w:type="spellEnd"/>
      <w:r w:rsidR="005B1DDA">
        <w:rPr>
          <w:rFonts w:ascii="Cambria" w:eastAsia="Candara" w:hAnsi="Cambria" w:cs="Times New Roman"/>
        </w:rPr>
        <w:t xml:space="preserve"> pada </w:t>
      </w:r>
      <w:proofErr w:type="spellStart"/>
      <w:r w:rsidR="005B1DDA">
        <w:rPr>
          <w:rFonts w:ascii="Cambria" w:eastAsia="Candara" w:hAnsi="Cambria" w:cs="Times New Roman"/>
        </w:rPr>
        <w:t>makanan</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kudapan</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adalah</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sekitar</w:t>
      </w:r>
      <w:proofErr w:type="spellEnd"/>
      <w:r w:rsidR="005B1DDA">
        <w:rPr>
          <w:rFonts w:ascii="Cambria" w:eastAsia="Candara" w:hAnsi="Cambria" w:cs="Times New Roman"/>
        </w:rPr>
        <w:t xml:space="preserve"> 200-300 </w:t>
      </w:r>
      <w:proofErr w:type="spellStart"/>
      <w:r w:rsidR="005B1DDA">
        <w:rPr>
          <w:rFonts w:ascii="Cambria" w:eastAsia="Candara" w:hAnsi="Cambria" w:cs="Times New Roman"/>
        </w:rPr>
        <w:t>kkal</w:t>
      </w:r>
      <w:proofErr w:type="spellEnd"/>
      <w:r w:rsidR="005B1DDA">
        <w:rPr>
          <w:rFonts w:ascii="Cambria" w:eastAsia="Candara" w:hAnsi="Cambria" w:cs="Times New Roman"/>
        </w:rPr>
        <w:t xml:space="preserve">. Oleh </w:t>
      </w:r>
      <w:proofErr w:type="spellStart"/>
      <w:r w:rsidR="005B1DDA">
        <w:rPr>
          <w:rFonts w:ascii="Cambria" w:eastAsia="Candara" w:hAnsi="Cambria" w:cs="Times New Roman"/>
        </w:rPr>
        <w:t>karena</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itu</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satu</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porsi</w:t>
      </w:r>
      <w:proofErr w:type="spellEnd"/>
      <w:r w:rsidR="005B1DDA">
        <w:rPr>
          <w:rFonts w:ascii="Cambria" w:eastAsia="Candara" w:hAnsi="Cambria" w:cs="Times New Roman"/>
        </w:rPr>
        <w:t xml:space="preserve"> biscuit </w:t>
      </w:r>
      <w:proofErr w:type="spellStart"/>
      <w:r w:rsidR="005B1DDA">
        <w:rPr>
          <w:rFonts w:ascii="Cambria" w:eastAsia="Candara" w:hAnsi="Cambria" w:cs="Times New Roman"/>
        </w:rPr>
        <w:t>rempah</w:t>
      </w:r>
      <w:proofErr w:type="spellEnd"/>
      <w:r w:rsidR="005B1DDA">
        <w:rPr>
          <w:rFonts w:ascii="Cambria" w:eastAsia="Candara" w:hAnsi="Cambria" w:cs="Times New Roman"/>
        </w:rPr>
        <w:t xml:space="preserve"> </w:t>
      </w:r>
      <w:proofErr w:type="spellStart"/>
      <w:r w:rsidR="008D2E65">
        <w:rPr>
          <w:rFonts w:ascii="Cambria" w:eastAsia="Candara" w:hAnsi="Cambria" w:cs="Times New Roman"/>
        </w:rPr>
        <w:t>dapat</w:t>
      </w:r>
      <w:proofErr w:type="spellEnd"/>
      <w:r w:rsidR="008D2E65">
        <w:rPr>
          <w:rFonts w:ascii="Cambria" w:eastAsia="Candara" w:hAnsi="Cambria" w:cs="Times New Roman"/>
        </w:rPr>
        <w:t xml:space="preserve"> </w:t>
      </w:r>
      <w:proofErr w:type="spellStart"/>
      <w:r w:rsidR="008D2E65">
        <w:rPr>
          <w:rFonts w:ascii="Cambria" w:eastAsia="Candara" w:hAnsi="Cambria" w:cs="Times New Roman"/>
        </w:rPr>
        <w:t>diberikan</w:t>
      </w:r>
      <w:proofErr w:type="spellEnd"/>
      <w:r w:rsidR="008D2E65">
        <w:rPr>
          <w:rFonts w:ascii="Cambria" w:eastAsia="Candara" w:hAnsi="Cambria" w:cs="Times New Roman"/>
        </w:rPr>
        <w:t xml:space="preserve"> </w:t>
      </w:r>
      <w:proofErr w:type="spellStart"/>
      <w:r w:rsidR="005B1DDA">
        <w:rPr>
          <w:rFonts w:ascii="Cambria" w:eastAsia="Candara" w:hAnsi="Cambria" w:cs="Times New Roman"/>
        </w:rPr>
        <w:t>sebanyak</w:t>
      </w:r>
      <w:proofErr w:type="spellEnd"/>
      <w:r w:rsidR="005B1DDA">
        <w:rPr>
          <w:rFonts w:ascii="Cambria" w:eastAsia="Candara" w:hAnsi="Cambria" w:cs="Times New Roman"/>
        </w:rPr>
        <w:t xml:space="preserve"> 50 gram/</w:t>
      </w:r>
      <w:proofErr w:type="spellStart"/>
      <w:r w:rsidR="005B1DDA">
        <w:rPr>
          <w:rFonts w:ascii="Cambria" w:eastAsia="Candara" w:hAnsi="Cambria" w:cs="Times New Roman"/>
        </w:rPr>
        <w:t>hari</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dengan</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energi</w:t>
      </w:r>
      <w:proofErr w:type="spellEnd"/>
      <w:r w:rsidR="005B1DDA">
        <w:rPr>
          <w:rFonts w:ascii="Cambria" w:eastAsia="Candara" w:hAnsi="Cambria" w:cs="Times New Roman"/>
        </w:rPr>
        <w:t xml:space="preserve"> </w:t>
      </w:r>
      <w:proofErr w:type="spellStart"/>
      <w:r w:rsidR="005B1DDA">
        <w:rPr>
          <w:rFonts w:ascii="Cambria" w:eastAsia="Candara" w:hAnsi="Cambria" w:cs="Times New Roman"/>
        </w:rPr>
        <w:t>sebesar</w:t>
      </w:r>
      <w:proofErr w:type="spellEnd"/>
      <w:r w:rsidR="005B1DDA">
        <w:rPr>
          <w:rFonts w:ascii="Cambria" w:eastAsia="Candara" w:hAnsi="Cambria" w:cs="Times New Roman"/>
        </w:rPr>
        <w:t xml:space="preserve"> 224 </w:t>
      </w:r>
      <w:proofErr w:type="spellStart"/>
      <w:r w:rsidR="005B1DDA">
        <w:rPr>
          <w:rFonts w:ascii="Cambria" w:eastAsia="Candara" w:hAnsi="Cambria" w:cs="Times New Roman"/>
        </w:rPr>
        <w:t>kkal</w:t>
      </w:r>
      <w:proofErr w:type="spellEnd"/>
      <w:r w:rsidR="005B1DDA">
        <w:rPr>
          <w:rFonts w:ascii="Cambria" w:eastAsia="Candara" w:hAnsi="Cambria" w:cs="Times New Roman"/>
        </w:rPr>
        <w:t>.</w:t>
      </w:r>
    </w:p>
    <w:p w14:paraId="152EEF0F" w14:textId="6BAE3A5D" w:rsidR="00F03C4C" w:rsidRDefault="00F03C4C" w:rsidP="0066515B">
      <w:pPr>
        <w:spacing w:after="0" w:line="240" w:lineRule="auto"/>
        <w:ind w:firstLine="720"/>
        <w:jc w:val="both"/>
        <w:rPr>
          <w:rFonts w:ascii="Cambria" w:hAnsi="Cambria" w:cs="Times New Roman"/>
        </w:rPr>
      </w:pPr>
      <w:proofErr w:type="spellStart"/>
      <w:r w:rsidRPr="001C2FE5">
        <w:rPr>
          <w:rFonts w:ascii="Cambria" w:hAnsi="Cambria" w:cs="Times New Roman"/>
        </w:rPr>
        <w:t>Kandungan</w:t>
      </w:r>
      <w:proofErr w:type="spellEnd"/>
      <w:r w:rsidRPr="001C2FE5">
        <w:rPr>
          <w:rFonts w:ascii="Cambria" w:hAnsi="Cambria" w:cs="Times New Roman"/>
        </w:rPr>
        <w:t xml:space="preserve"> </w:t>
      </w:r>
      <w:proofErr w:type="spellStart"/>
      <w:r w:rsidRPr="001C2FE5">
        <w:rPr>
          <w:rFonts w:ascii="Cambria" w:hAnsi="Cambria" w:cs="Times New Roman"/>
        </w:rPr>
        <w:t>antioksidan</w:t>
      </w:r>
      <w:proofErr w:type="spellEnd"/>
      <w:r w:rsidR="005B1DDA">
        <w:rPr>
          <w:rFonts w:ascii="Cambria" w:hAnsi="Cambria" w:cs="Times New Roman"/>
        </w:rPr>
        <w:t xml:space="preserve"> </w:t>
      </w:r>
      <w:proofErr w:type="spellStart"/>
      <w:r w:rsidR="0063512D">
        <w:rPr>
          <w:rFonts w:ascii="Cambria" w:hAnsi="Cambria" w:cs="Times New Roman"/>
        </w:rPr>
        <w:t>biskuit</w:t>
      </w:r>
      <w:proofErr w:type="spellEnd"/>
      <w:r w:rsidRPr="001C2FE5">
        <w:rPr>
          <w:rFonts w:ascii="Cambria" w:hAnsi="Cambria" w:cs="Times New Roman"/>
        </w:rPr>
        <w:t xml:space="preserve"> F</w:t>
      </w:r>
      <w:proofErr w:type="gramStart"/>
      <w:r w:rsidRPr="001C2FE5">
        <w:rPr>
          <w:rFonts w:ascii="Cambria" w:hAnsi="Cambria" w:cs="Times New Roman"/>
        </w:rPr>
        <w:t xml:space="preserve">2  </w:t>
      </w:r>
      <w:proofErr w:type="spellStart"/>
      <w:r w:rsidRPr="001C2FE5">
        <w:rPr>
          <w:rFonts w:ascii="Cambria" w:hAnsi="Cambria" w:cs="Times New Roman"/>
        </w:rPr>
        <w:t>sebesar</w:t>
      </w:r>
      <w:proofErr w:type="spellEnd"/>
      <w:proofErr w:type="gramEnd"/>
      <w:r w:rsidRPr="001C2FE5">
        <w:rPr>
          <w:rFonts w:ascii="Cambria" w:hAnsi="Cambria" w:cs="Times New Roman"/>
        </w:rPr>
        <w:t xml:space="preserve"> 1374.8</w:t>
      </w:r>
      <w:r w:rsidR="005B1DDA">
        <w:rPr>
          <w:rFonts w:ascii="Cambria" w:hAnsi="Cambria" w:cs="Times New Roman"/>
        </w:rPr>
        <w:t xml:space="preserve">mg </w:t>
      </w:r>
      <w:r w:rsidRPr="001C2FE5">
        <w:rPr>
          <w:rFonts w:ascii="Cambria" w:hAnsi="Cambria" w:cs="Times New Roman"/>
        </w:rPr>
        <w:t xml:space="preserve">per 100gram. </w:t>
      </w:r>
      <w:proofErr w:type="spellStart"/>
      <w:r w:rsidR="005B1DDA">
        <w:rPr>
          <w:rFonts w:ascii="Cambria" w:hAnsi="Cambria" w:cs="Times New Roman"/>
        </w:rPr>
        <w:t>Jumlah</w:t>
      </w:r>
      <w:proofErr w:type="spellEnd"/>
      <w:r w:rsidR="005B1DDA">
        <w:rPr>
          <w:rFonts w:ascii="Cambria" w:hAnsi="Cambria" w:cs="Times New Roman"/>
        </w:rPr>
        <w:t xml:space="preserve"> </w:t>
      </w:r>
      <w:proofErr w:type="spellStart"/>
      <w:r w:rsidR="005B1DDA">
        <w:rPr>
          <w:rFonts w:ascii="Cambria" w:hAnsi="Cambria" w:cs="Times New Roman"/>
        </w:rPr>
        <w:t>ini</w:t>
      </w:r>
      <w:proofErr w:type="spellEnd"/>
      <w:r w:rsidR="005B1DDA">
        <w:rPr>
          <w:rFonts w:ascii="Cambria" w:hAnsi="Cambria" w:cs="Times New Roman"/>
        </w:rPr>
        <w:t xml:space="preserve"> </w:t>
      </w:r>
      <w:proofErr w:type="spellStart"/>
      <w:r w:rsidR="005B1DDA">
        <w:rPr>
          <w:rFonts w:ascii="Cambria" w:hAnsi="Cambria" w:cs="Times New Roman"/>
        </w:rPr>
        <w:t>dapat</w:t>
      </w:r>
      <w:proofErr w:type="spellEnd"/>
      <w:r w:rsidR="005B1DDA">
        <w:rPr>
          <w:rFonts w:ascii="Cambria" w:hAnsi="Cambria" w:cs="Times New Roman"/>
        </w:rPr>
        <w:t xml:space="preserve"> </w:t>
      </w:r>
      <w:proofErr w:type="spellStart"/>
      <w:r w:rsidR="005B1DDA">
        <w:rPr>
          <w:rFonts w:ascii="Cambria" w:hAnsi="Cambria" w:cs="Times New Roman"/>
        </w:rPr>
        <w:t>dikatakan</w:t>
      </w:r>
      <w:proofErr w:type="spellEnd"/>
      <w:r w:rsidR="005B1DDA">
        <w:rPr>
          <w:rFonts w:ascii="Cambria" w:hAnsi="Cambria" w:cs="Times New Roman"/>
        </w:rPr>
        <w:t xml:space="preserve"> sangat </w:t>
      </w:r>
      <w:proofErr w:type="spellStart"/>
      <w:r w:rsidR="005B1DDA">
        <w:rPr>
          <w:rFonts w:ascii="Cambria" w:hAnsi="Cambria" w:cs="Times New Roman"/>
        </w:rPr>
        <w:t>tinggi</w:t>
      </w:r>
      <w:proofErr w:type="spellEnd"/>
      <w:r w:rsidR="00350BE1">
        <w:rPr>
          <w:rFonts w:ascii="Cambria" w:hAnsi="Cambria" w:cs="Times New Roman"/>
        </w:rPr>
        <w:t xml:space="preserve"> </w:t>
      </w:r>
      <w:proofErr w:type="spellStart"/>
      <w:r w:rsidR="00350BE1">
        <w:rPr>
          <w:rFonts w:ascii="Cambria" w:hAnsi="Cambria" w:cs="Times New Roman"/>
        </w:rPr>
        <w:t>jika</w:t>
      </w:r>
      <w:proofErr w:type="spellEnd"/>
      <w:r w:rsidR="00350BE1">
        <w:rPr>
          <w:rFonts w:ascii="Cambria" w:hAnsi="Cambria" w:cs="Times New Roman"/>
        </w:rPr>
        <w:t xml:space="preserve"> </w:t>
      </w:r>
      <w:proofErr w:type="spellStart"/>
      <w:r w:rsidR="00350BE1">
        <w:rPr>
          <w:rFonts w:ascii="Cambria" w:hAnsi="Cambria" w:cs="Times New Roman"/>
        </w:rPr>
        <w:t>dibandingkan</w:t>
      </w:r>
      <w:proofErr w:type="spellEnd"/>
      <w:r w:rsidR="00350BE1">
        <w:rPr>
          <w:rFonts w:ascii="Cambria" w:hAnsi="Cambria" w:cs="Times New Roman"/>
        </w:rPr>
        <w:t xml:space="preserve"> </w:t>
      </w:r>
      <w:proofErr w:type="spellStart"/>
      <w:r w:rsidR="00350BE1">
        <w:rPr>
          <w:rFonts w:ascii="Cambria" w:hAnsi="Cambria" w:cs="Times New Roman"/>
        </w:rPr>
        <w:t>dengan</w:t>
      </w:r>
      <w:proofErr w:type="spellEnd"/>
      <w:r w:rsidR="00350BE1">
        <w:rPr>
          <w:rFonts w:ascii="Cambria" w:hAnsi="Cambria" w:cs="Times New Roman"/>
        </w:rPr>
        <w:t xml:space="preserve"> </w:t>
      </w:r>
      <w:proofErr w:type="spellStart"/>
      <w:r w:rsidR="00350BE1">
        <w:rPr>
          <w:rFonts w:ascii="Cambria" w:hAnsi="Cambria" w:cs="Times New Roman"/>
        </w:rPr>
        <w:t>kebutuhan</w:t>
      </w:r>
      <w:proofErr w:type="spellEnd"/>
      <w:r w:rsidR="00350BE1">
        <w:rPr>
          <w:rFonts w:ascii="Cambria" w:hAnsi="Cambria" w:cs="Times New Roman"/>
        </w:rPr>
        <w:t xml:space="preserve"> vitamin-C </w:t>
      </w:r>
      <w:proofErr w:type="spellStart"/>
      <w:r w:rsidR="005928FD">
        <w:rPr>
          <w:rFonts w:ascii="Cambria" w:hAnsi="Cambria" w:cs="Times New Roman"/>
        </w:rPr>
        <w:t>harian</w:t>
      </w:r>
      <w:proofErr w:type="spellEnd"/>
      <w:r w:rsidR="005928FD">
        <w:rPr>
          <w:rFonts w:ascii="Cambria" w:hAnsi="Cambria" w:cs="Times New Roman"/>
        </w:rPr>
        <w:t xml:space="preserve"> orang </w:t>
      </w:r>
      <w:proofErr w:type="spellStart"/>
      <w:r w:rsidR="005928FD">
        <w:rPr>
          <w:rFonts w:ascii="Cambria" w:hAnsi="Cambria" w:cs="Times New Roman"/>
        </w:rPr>
        <w:t>dewasa</w:t>
      </w:r>
      <w:proofErr w:type="spellEnd"/>
      <w:r w:rsidR="005928FD">
        <w:rPr>
          <w:rFonts w:ascii="Cambria" w:hAnsi="Cambria" w:cs="Times New Roman"/>
        </w:rPr>
        <w:t xml:space="preserve"> </w:t>
      </w:r>
      <w:proofErr w:type="spellStart"/>
      <w:r w:rsidR="005928FD">
        <w:rPr>
          <w:rFonts w:ascii="Cambria" w:hAnsi="Cambria" w:cs="Times New Roman"/>
        </w:rPr>
        <w:t>sebanyak</w:t>
      </w:r>
      <w:proofErr w:type="spellEnd"/>
      <w:r w:rsidR="005928FD">
        <w:rPr>
          <w:rFonts w:ascii="Cambria" w:hAnsi="Cambria" w:cs="Times New Roman"/>
        </w:rPr>
        <w:t xml:space="preserve"> 102 mg/</w:t>
      </w:r>
      <w:proofErr w:type="spellStart"/>
      <w:r w:rsidR="005928FD">
        <w:rPr>
          <w:rFonts w:ascii="Cambria" w:hAnsi="Cambria" w:cs="Times New Roman"/>
        </w:rPr>
        <w:t>hari</w:t>
      </w:r>
      <w:proofErr w:type="spellEnd"/>
      <w:r w:rsidR="005928FD">
        <w:rPr>
          <w:rFonts w:ascii="Cambria" w:hAnsi="Cambria" w:cs="Times New Roman"/>
        </w:rPr>
        <w:t xml:space="preserve"> dan upper level </w:t>
      </w:r>
      <w:proofErr w:type="spellStart"/>
      <w:r w:rsidR="005928FD">
        <w:rPr>
          <w:rFonts w:ascii="Cambria" w:hAnsi="Cambria" w:cs="Times New Roman"/>
        </w:rPr>
        <w:t>sebanyak</w:t>
      </w:r>
      <w:proofErr w:type="spellEnd"/>
      <w:r w:rsidR="005928FD">
        <w:rPr>
          <w:rFonts w:ascii="Cambria" w:hAnsi="Cambria" w:cs="Times New Roman"/>
        </w:rPr>
        <w:t xml:space="preserve"> 2 g/</w:t>
      </w:r>
      <w:proofErr w:type="spellStart"/>
      <w:r w:rsidR="005928FD">
        <w:rPr>
          <w:rFonts w:ascii="Cambria" w:hAnsi="Cambria" w:cs="Times New Roman"/>
        </w:rPr>
        <w:t>hari</w:t>
      </w:r>
      <w:proofErr w:type="spellEnd"/>
      <w:r w:rsidR="005928FD">
        <w:rPr>
          <w:rFonts w:ascii="Cambria" w:hAnsi="Cambria" w:cs="Times New Roman"/>
        </w:rPr>
        <w:t xml:space="preserve"> </w:t>
      </w:r>
      <w:r w:rsidR="00213308">
        <w:rPr>
          <w:rFonts w:ascii="Cambria" w:hAnsi="Cambria" w:cs="Times New Roman"/>
        </w:rPr>
        <w:fldChar w:fldCharType="begin" w:fldLock="1"/>
      </w:r>
      <w:r w:rsidR="00BC18A1">
        <w:rPr>
          <w:rFonts w:ascii="Cambria" w:hAnsi="Cambria" w:cs="Times New Roman"/>
        </w:rPr>
        <w:instrText>ADDIN CSL_CITATION {"citationItems":[{"id":"ITEM-1","itemData":{"ISBN":"0309069351 (pbk.) 0309069491 (cased)","abstract":"OBJECTIVES: Triage is the initial clinical sorting process in hospital emergency departments (EDs). Because of poor reproducibility and validity of three-level triage, the authors developed and validated a new five-level triage instrument, the Emergency Severity Index (ESI). The study objectives were: 1) to validate the triage instrument against ED patients' clinical resource and hospitalization needs, and 2) to measure the interrater reliability (reproducibility) of the instrument. METHODS: This was a prospective, observational cohort study of a population-based convenience sample of adult patients triaged during 100 hours at two urban referral hospitals. Validation by resource use and hospitalization (criterion standards) and reproducibility by blinded paired triage assignments compared with weighted kappa analysis were assessed. RESULTS: Five hundred thirty-eight patients were enrolled; 45 were excluded due to incomplete evaluations. The resulting cohort of 493 patients was 52% female, was 26% nonwhite, and had a median age of 40 years (range 16-95); overall, 159 (32%) patients were hospitalized. Weighted kappa for triage assignment was 0.80 (95% CI = 0.76 to 0.84). Resource use and hospitalization rates were strongly associated with triage level. For patients in category 5, only one-fourth (17/67) required any diagnostic test or procedure, and none were hospitalized (upper confidence limit, 5%). Conversely, in category 1, one of twelve patients was discharged (upper confidence limit, 25%), and none required fewer than two resources. CONCLUSIONS: This five-level triage instrument was shown to be both valid and reliable in the authors' practice settings. It reproducibly triages patients into five distinct strata, from very high hospitalization/resource intensity to very low hospitalization/resource intensity.","author":[{"dropping-particle":"","family":"IOM","given":"","non-dropping-particle":"","parse-names":false,"suffix":""}],"id":"ITEM-1","issued":{"date-parts":[["2000"]]},"title":"Dietary reference intakes for vitamin C, vitamin E, selenium, and carotenoids : a report of the Panel on Dietary Antioxidants and Related Compounds, Subcommittees on Upper Reference Levels of Nutrients and of Interpretation and Use of Dietary Reference In","type":"book"},"uris":["http://www.mendeley.com/documents/?uuid=ebf4bdf2-3cd3-413d-881e-acf481d08ef4"]}],"mendeley":{"formattedCitation":"(IOM, 2000)","plainTextFormattedCitation":"(IOM, 2000)","previouslyFormattedCitation":"(IOM, 2000)"},"properties":{"noteIndex":0},"schema":"https://github.com/citation-style-language/schema/raw/master/csl-citation.json"}</w:instrText>
      </w:r>
      <w:r w:rsidR="00213308">
        <w:rPr>
          <w:rFonts w:ascii="Cambria" w:hAnsi="Cambria" w:cs="Times New Roman"/>
        </w:rPr>
        <w:fldChar w:fldCharType="separate"/>
      </w:r>
      <w:r w:rsidR="00213308" w:rsidRPr="00213308">
        <w:rPr>
          <w:rFonts w:ascii="Cambria" w:hAnsi="Cambria" w:cs="Times New Roman"/>
          <w:noProof/>
        </w:rPr>
        <w:t>(IOM, 2000)</w:t>
      </w:r>
      <w:r w:rsidR="00213308">
        <w:rPr>
          <w:rFonts w:ascii="Cambria" w:hAnsi="Cambria" w:cs="Times New Roman"/>
        </w:rPr>
        <w:fldChar w:fldCharType="end"/>
      </w:r>
      <w:r w:rsidR="00213308">
        <w:rPr>
          <w:rFonts w:ascii="Cambria" w:hAnsi="Cambria" w:cs="Times New Roman"/>
        </w:rPr>
        <w:t xml:space="preserve">. </w:t>
      </w:r>
      <w:r w:rsidR="005928FD">
        <w:rPr>
          <w:rFonts w:ascii="Cambria" w:hAnsi="Cambria" w:cs="Times New Roman"/>
        </w:rPr>
        <w:t xml:space="preserve">Oleh </w:t>
      </w:r>
      <w:proofErr w:type="spellStart"/>
      <w:r w:rsidR="005928FD">
        <w:rPr>
          <w:rFonts w:ascii="Cambria" w:hAnsi="Cambria" w:cs="Times New Roman"/>
        </w:rPr>
        <w:t>karena</w:t>
      </w:r>
      <w:proofErr w:type="spellEnd"/>
      <w:r w:rsidR="005928FD">
        <w:rPr>
          <w:rFonts w:ascii="Cambria" w:hAnsi="Cambria" w:cs="Times New Roman"/>
        </w:rPr>
        <w:t xml:space="preserve"> </w:t>
      </w:r>
      <w:proofErr w:type="spellStart"/>
      <w:r w:rsidR="005928FD">
        <w:rPr>
          <w:rFonts w:ascii="Cambria" w:hAnsi="Cambria" w:cs="Times New Roman"/>
        </w:rPr>
        <w:t>itu</w:t>
      </w:r>
      <w:proofErr w:type="spellEnd"/>
      <w:r w:rsidR="005928FD">
        <w:rPr>
          <w:rFonts w:ascii="Cambria" w:hAnsi="Cambria" w:cs="Times New Roman"/>
        </w:rPr>
        <w:t xml:space="preserve">, </w:t>
      </w:r>
      <w:proofErr w:type="spellStart"/>
      <w:r w:rsidR="005928FD">
        <w:rPr>
          <w:rFonts w:ascii="Cambria" w:hAnsi="Cambria" w:cs="Times New Roman"/>
        </w:rPr>
        <w:t>takaran</w:t>
      </w:r>
      <w:proofErr w:type="spellEnd"/>
      <w:r w:rsidR="005928FD">
        <w:rPr>
          <w:rFonts w:ascii="Cambria" w:hAnsi="Cambria" w:cs="Times New Roman"/>
        </w:rPr>
        <w:t xml:space="preserve"> </w:t>
      </w:r>
      <w:proofErr w:type="spellStart"/>
      <w:r w:rsidR="005928FD">
        <w:rPr>
          <w:rFonts w:ascii="Cambria" w:hAnsi="Cambria" w:cs="Times New Roman"/>
        </w:rPr>
        <w:t>saji</w:t>
      </w:r>
      <w:proofErr w:type="spellEnd"/>
      <w:r w:rsidR="005928FD">
        <w:rPr>
          <w:rFonts w:ascii="Cambria" w:hAnsi="Cambria" w:cs="Times New Roman"/>
        </w:rPr>
        <w:t xml:space="preserve"> biscuit </w:t>
      </w:r>
      <w:proofErr w:type="spellStart"/>
      <w:r w:rsidR="005928FD">
        <w:rPr>
          <w:rFonts w:ascii="Cambria" w:hAnsi="Cambria" w:cs="Times New Roman"/>
        </w:rPr>
        <w:t>rempah</w:t>
      </w:r>
      <w:proofErr w:type="spellEnd"/>
      <w:r w:rsidR="005928FD">
        <w:rPr>
          <w:rFonts w:ascii="Cambria" w:hAnsi="Cambria" w:cs="Times New Roman"/>
        </w:rPr>
        <w:t xml:space="preserve"> </w:t>
      </w:r>
      <w:proofErr w:type="spellStart"/>
      <w:r w:rsidR="005928FD">
        <w:rPr>
          <w:rFonts w:ascii="Cambria" w:hAnsi="Cambria" w:cs="Times New Roman"/>
        </w:rPr>
        <w:t>untuk</w:t>
      </w:r>
      <w:proofErr w:type="spellEnd"/>
      <w:r w:rsidR="005928FD">
        <w:rPr>
          <w:rFonts w:ascii="Cambria" w:hAnsi="Cambria" w:cs="Times New Roman"/>
        </w:rPr>
        <w:t xml:space="preserve"> </w:t>
      </w:r>
      <w:proofErr w:type="spellStart"/>
      <w:r w:rsidR="005928FD">
        <w:rPr>
          <w:rFonts w:ascii="Cambria" w:hAnsi="Cambria" w:cs="Times New Roman"/>
        </w:rPr>
        <w:t>memenuhi</w:t>
      </w:r>
      <w:proofErr w:type="spellEnd"/>
      <w:r w:rsidR="005928FD">
        <w:rPr>
          <w:rFonts w:ascii="Cambria" w:hAnsi="Cambria" w:cs="Times New Roman"/>
        </w:rPr>
        <w:t xml:space="preserve"> </w:t>
      </w:r>
      <w:proofErr w:type="spellStart"/>
      <w:r w:rsidR="005928FD">
        <w:rPr>
          <w:rFonts w:ascii="Cambria" w:hAnsi="Cambria" w:cs="Times New Roman"/>
        </w:rPr>
        <w:t>kebutuhan</w:t>
      </w:r>
      <w:proofErr w:type="spellEnd"/>
      <w:r w:rsidR="005928FD">
        <w:rPr>
          <w:rFonts w:ascii="Cambria" w:hAnsi="Cambria" w:cs="Times New Roman"/>
        </w:rPr>
        <w:t xml:space="preserve"> </w:t>
      </w:r>
      <w:proofErr w:type="spellStart"/>
      <w:r w:rsidR="005928FD">
        <w:rPr>
          <w:rFonts w:ascii="Cambria" w:hAnsi="Cambria" w:cs="Times New Roman"/>
        </w:rPr>
        <w:t>antioksidan</w:t>
      </w:r>
      <w:proofErr w:type="spellEnd"/>
      <w:r w:rsidR="005928FD">
        <w:rPr>
          <w:rFonts w:ascii="Cambria" w:hAnsi="Cambria" w:cs="Times New Roman"/>
        </w:rPr>
        <w:t xml:space="preserve"> </w:t>
      </w:r>
      <w:proofErr w:type="spellStart"/>
      <w:r w:rsidR="005928FD">
        <w:rPr>
          <w:rFonts w:ascii="Cambria" w:hAnsi="Cambria" w:cs="Times New Roman"/>
        </w:rPr>
        <w:t>lebih</w:t>
      </w:r>
      <w:proofErr w:type="spellEnd"/>
      <w:r w:rsidR="005928FD">
        <w:rPr>
          <w:rFonts w:ascii="Cambria" w:hAnsi="Cambria" w:cs="Times New Roman"/>
        </w:rPr>
        <w:t xml:space="preserve"> </w:t>
      </w:r>
      <w:proofErr w:type="spellStart"/>
      <w:r w:rsidR="005928FD">
        <w:rPr>
          <w:rFonts w:ascii="Cambria" w:hAnsi="Cambria" w:cs="Times New Roman"/>
        </w:rPr>
        <w:t>kecil</w:t>
      </w:r>
      <w:proofErr w:type="spellEnd"/>
      <w:r w:rsidR="005928FD">
        <w:rPr>
          <w:rFonts w:ascii="Cambria" w:hAnsi="Cambria" w:cs="Times New Roman"/>
        </w:rPr>
        <w:t xml:space="preserve"> </w:t>
      </w:r>
      <w:proofErr w:type="spellStart"/>
      <w:r w:rsidR="005928FD">
        <w:rPr>
          <w:rFonts w:ascii="Cambria" w:hAnsi="Cambria" w:cs="Times New Roman"/>
        </w:rPr>
        <w:t>dari</w:t>
      </w:r>
      <w:proofErr w:type="spellEnd"/>
      <w:r w:rsidR="005928FD">
        <w:rPr>
          <w:rFonts w:ascii="Cambria" w:hAnsi="Cambria" w:cs="Times New Roman"/>
        </w:rPr>
        <w:t xml:space="preserve"> 100 g. Jika </w:t>
      </w:r>
      <w:proofErr w:type="spellStart"/>
      <w:r w:rsidR="005928FD">
        <w:rPr>
          <w:rFonts w:ascii="Cambria" w:hAnsi="Cambria" w:cs="Times New Roman"/>
        </w:rPr>
        <w:t>disesuaikan</w:t>
      </w:r>
      <w:proofErr w:type="spellEnd"/>
      <w:r w:rsidR="005928FD">
        <w:rPr>
          <w:rFonts w:ascii="Cambria" w:hAnsi="Cambria" w:cs="Times New Roman"/>
        </w:rPr>
        <w:t xml:space="preserve"> </w:t>
      </w:r>
      <w:proofErr w:type="spellStart"/>
      <w:r w:rsidR="005928FD">
        <w:rPr>
          <w:rFonts w:ascii="Cambria" w:hAnsi="Cambria" w:cs="Times New Roman"/>
        </w:rPr>
        <w:t>dengan</w:t>
      </w:r>
      <w:proofErr w:type="spellEnd"/>
      <w:r w:rsidR="005928FD">
        <w:rPr>
          <w:rFonts w:ascii="Cambria" w:hAnsi="Cambria" w:cs="Times New Roman"/>
        </w:rPr>
        <w:t xml:space="preserve"> </w:t>
      </w:r>
      <w:proofErr w:type="spellStart"/>
      <w:r w:rsidR="005928FD">
        <w:rPr>
          <w:rFonts w:ascii="Cambria" w:hAnsi="Cambria" w:cs="Times New Roman"/>
        </w:rPr>
        <w:t>takaran</w:t>
      </w:r>
      <w:proofErr w:type="spellEnd"/>
      <w:r w:rsidR="005928FD">
        <w:rPr>
          <w:rFonts w:ascii="Cambria" w:hAnsi="Cambria" w:cs="Times New Roman"/>
        </w:rPr>
        <w:t xml:space="preserve"> </w:t>
      </w:r>
      <w:proofErr w:type="spellStart"/>
      <w:r w:rsidR="005928FD">
        <w:rPr>
          <w:rFonts w:ascii="Cambria" w:hAnsi="Cambria" w:cs="Times New Roman"/>
        </w:rPr>
        <w:t>saji</w:t>
      </w:r>
      <w:proofErr w:type="spellEnd"/>
      <w:r w:rsidR="005928FD">
        <w:rPr>
          <w:rFonts w:ascii="Cambria" w:hAnsi="Cambria" w:cs="Times New Roman"/>
        </w:rPr>
        <w:t xml:space="preserve"> </w:t>
      </w:r>
      <w:proofErr w:type="spellStart"/>
      <w:r w:rsidR="005928FD">
        <w:rPr>
          <w:rFonts w:ascii="Cambria" w:hAnsi="Cambria" w:cs="Times New Roman"/>
        </w:rPr>
        <w:t>berdasarkan</w:t>
      </w:r>
      <w:proofErr w:type="spellEnd"/>
      <w:r w:rsidR="005928FD">
        <w:rPr>
          <w:rFonts w:ascii="Cambria" w:hAnsi="Cambria" w:cs="Times New Roman"/>
        </w:rPr>
        <w:t xml:space="preserve"> </w:t>
      </w:r>
      <w:proofErr w:type="spellStart"/>
      <w:r w:rsidR="005928FD">
        <w:rPr>
          <w:rFonts w:ascii="Cambria" w:hAnsi="Cambria" w:cs="Times New Roman"/>
        </w:rPr>
        <w:t>asupan</w:t>
      </w:r>
      <w:proofErr w:type="spellEnd"/>
      <w:r w:rsidR="005928FD">
        <w:rPr>
          <w:rFonts w:ascii="Cambria" w:hAnsi="Cambria" w:cs="Times New Roman"/>
        </w:rPr>
        <w:t xml:space="preserve"> </w:t>
      </w:r>
      <w:proofErr w:type="spellStart"/>
      <w:r w:rsidR="005928FD">
        <w:rPr>
          <w:rFonts w:ascii="Cambria" w:hAnsi="Cambria" w:cs="Times New Roman"/>
        </w:rPr>
        <w:t>kalori</w:t>
      </w:r>
      <w:proofErr w:type="spellEnd"/>
      <w:r w:rsidR="005928FD">
        <w:rPr>
          <w:rFonts w:ascii="Cambria" w:hAnsi="Cambria" w:cs="Times New Roman"/>
        </w:rPr>
        <w:t xml:space="preserve"> </w:t>
      </w:r>
      <w:proofErr w:type="spellStart"/>
      <w:r w:rsidR="005928FD">
        <w:rPr>
          <w:rFonts w:ascii="Cambria" w:hAnsi="Cambria" w:cs="Times New Roman"/>
        </w:rPr>
        <w:t>untuk</w:t>
      </w:r>
      <w:proofErr w:type="spellEnd"/>
      <w:r w:rsidR="005928FD">
        <w:rPr>
          <w:rFonts w:ascii="Cambria" w:hAnsi="Cambria" w:cs="Times New Roman"/>
        </w:rPr>
        <w:t xml:space="preserve"> </w:t>
      </w:r>
      <w:proofErr w:type="spellStart"/>
      <w:r w:rsidR="005928FD">
        <w:rPr>
          <w:rFonts w:ascii="Cambria" w:hAnsi="Cambria" w:cs="Times New Roman"/>
        </w:rPr>
        <w:t>makanan</w:t>
      </w:r>
      <w:proofErr w:type="spellEnd"/>
      <w:r w:rsidR="005928FD">
        <w:rPr>
          <w:rFonts w:ascii="Cambria" w:hAnsi="Cambria" w:cs="Times New Roman"/>
        </w:rPr>
        <w:t xml:space="preserve"> </w:t>
      </w:r>
      <w:proofErr w:type="spellStart"/>
      <w:r w:rsidR="005928FD">
        <w:rPr>
          <w:rFonts w:ascii="Cambria" w:hAnsi="Cambria" w:cs="Times New Roman"/>
        </w:rPr>
        <w:t>kudapan</w:t>
      </w:r>
      <w:proofErr w:type="spellEnd"/>
      <w:r w:rsidR="005928FD">
        <w:rPr>
          <w:rFonts w:ascii="Cambria" w:hAnsi="Cambria" w:cs="Times New Roman"/>
        </w:rPr>
        <w:t xml:space="preserve"> </w:t>
      </w:r>
      <w:proofErr w:type="spellStart"/>
      <w:r w:rsidR="005928FD">
        <w:rPr>
          <w:rFonts w:ascii="Cambria" w:hAnsi="Cambria" w:cs="Times New Roman"/>
        </w:rPr>
        <w:t>sebesar</w:t>
      </w:r>
      <w:proofErr w:type="spellEnd"/>
      <w:r w:rsidR="005928FD">
        <w:rPr>
          <w:rFonts w:ascii="Cambria" w:hAnsi="Cambria" w:cs="Times New Roman"/>
        </w:rPr>
        <w:t xml:space="preserve"> 50g/</w:t>
      </w:r>
      <w:proofErr w:type="spellStart"/>
      <w:r w:rsidR="005928FD">
        <w:rPr>
          <w:rFonts w:ascii="Cambria" w:hAnsi="Cambria" w:cs="Times New Roman"/>
        </w:rPr>
        <w:t>hari</w:t>
      </w:r>
      <w:proofErr w:type="spellEnd"/>
      <w:r w:rsidR="005928FD">
        <w:rPr>
          <w:rFonts w:ascii="Cambria" w:hAnsi="Cambria" w:cs="Times New Roman"/>
        </w:rPr>
        <w:t xml:space="preserve">, </w:t>
      </w:r>
      <w:proofErr w:type="spellStart"/>
      <w:r w:rsidR="005928FD">
        <w:rPr>
          <w:rFonts w:ascii="Cambria" w:hAnsi="Cambria" w:cs="Times New Roman"/>
        </w:rPr>
        <w:t>maka</w:t>
      </w:r>
      <w:proofErr w:type="spellEnd"/>
      <w:r w:rsidR="005928FD">
        <w:rPr>
          <w:rFonts w:ascii="Cambria" w:hAnsi="Cambria" w:cs="Times New Roman"/>
        </w:rPr>
        <w:t xml:space="preserve"> </w:t>
      </w:r>
      <w:proofErr w:type="spellStart"/>
      <w:r w:rsidR="005928FD">
        <w:rPr>
          <w:rFonts w:ascii="Cambria" w:hAnsi="Cambria" w:cs="Times New Roman"/>
        </w:rPr>
        <w:t>antioksidan</w:t>
      </w:r>
      <w:proofErr w:type="spellEnd"/>
      <w:r w:rsidR="005928FD">
        <w:rPr>
          <w:rFonts w:ascii="Cambria" w:hAnsi="Cambria" w:cs="Times New Roman"/>
        </w:rPr>
        <w:t xml:space="preserve"> yang </w:t>
      </w:r>
      <w:proofErr w:type="spellStart"/>
      <w:r w:rsidR="005928FD">
        <w:rPr>
          <w:rFonts w:ascii="Cambria" w:hAnsi="Cambria" w:cs="Times New Roman"/>
        </w:rPr>
        <w:t>diperoleh</w:t>
      </w:r>
      <w:proofErr w:type="spellEnd"/>
      <w:r w:rsidR="005928FD">
        <w:rPr>
          <w:rFonts w:ascii="Cambria" w:hAnsi="Cambria" w:cs="Times New Roman"/>
        </w:rPr>
        <w:t xml:space="preserve"> </w:t>
      </w:r>
      <w:proofErr w:type="spellStart"/>
      <w:r w:rsidR="005928FD">
        <w:rPr>
          <w:rFonts w:ascii="Cambria" w:hAnsi="Cambria" w:cs="Times New Roman"/>
        </w:rPr>
        <w:t>sebesar</w:t>
      </w:r>
      <w:proofErr w:type="spellEnd"/>
      <w:r w:rsidR="005928FD">
        <w:rPr>
          <w:rFonts w:ascii="Cambria" w:hAnsi="Cambria" w:cs="Times New Roman"/>
        </w:rPr>
        <w:t xml:space="preserve"> 687 mg/</w:t>
      </w:r>
      <w:proofErr w:type="spellStart"/>
      <w:r w:rsidR="005928FD">
        <w:rPr>
          <w:rFonts w:ascii="Cambria" w:hAnsi="Cambria" w:cs="Times New Roman"/>
        </w:rPr>
        <w:t>hari</w:t>
      </w:r>
      <w:proofErr w:type="spellEnd"/>
      <w:r w:rsidR="005928FD">
        <w:rPr>
          <w:rFonts w:ascii="Cambria" w:hAnsi="Cambria" w:cs="Times New Roman"/>
        </w:rPr>
        <w:t xml:space="preserve">. </w:t>
      </w:r>
      <w:proofErr w:type="spellStart"/>
      <w:r w:rsidR="005928FD">
        <w:rPr>
          <w:rFonts w:ascii="Cambria" w:hAnsi="Cambria" w:cs="Times New Roman"/>
        </w:rPr>
        <w:t>Apabila</w:t>
      </w:r>
      <w:proofErr w:type="spellEnd"/>
      <w:r w:rsidR="005928FD">
        <w:rPr>
          <w:rFonts w:ascii="Cambria" w:hAnsi="Cambria" w:cs="Times New Roman"/>
        </w:rPr>
        <w:t xml:space="preserve"> </w:t>
      </w:r>
      <w:proofErr w:type="spellStart"/>
      <w:r w:rsidR="005928FD">
        <w:rPr>
          <w:rFonts w:ascii="Cambria" w:hAnsi="Cambria" w:cs="Times New Roman"/>
        </w:rPr>
        <w:t>nilai</w:t>
      </w:r>
      <w:proofErr w:type="spellEnd"/>
      <w:r w:rsidR="005928FD">
        <w:rPr>
          <w:rFonts w:ascii="Cambria" w:hAnsi="Cambria" w:cs="Times New Roman"/>
        </w:rPr>
        <w:t xml:space="preserve"> </w:t>
      </w:r>
      <w:proofErr w:type="spellStart"/>
      <w:r w:rsidR="005928FD">
        <w:rPr>
          <w:rFonts w:ascii="Cambria" w:hAnsi="Cambria" w:cs="Times New Roman"/>
        </w:rPr>
        <w:t>tersebut</w:t>
      </w:r>
      <w:proofErr w:type="spellEnd"/>
      <w:r w:rsidR="005928FD">
        <w:rPr>
          <w:rFonts w:ascii="Cambria" w:hAnsi="Cambria" w:cs="Times New Roman"/>
        </w:rPr>
        <w:t xml:space="preserve"> </w:t>
      </w:r>
      <w:proofErr w:type="spellStart"/>
      <w:r w:rsidR="005928FD">
        <w:rPr>
          <w:rFonts w:ascii="Cambria" w:hAnsi="Cambria" w:cs="Times New Roman"/>
        </w:rPr>
        <w:t>masih</w:t>
      </w:r>
      <w:proofErr w:type="spellEnd"/>
      <w:r w:rsidR="005928FD">
        <w:rPr>
          <w:rFonts w:ascii="Cambria" w:hAnsi="Cambria" w:cs="Times New Roman"/>
        </w:rPr>
        <w:t xml:space="preserve"> </w:t>
      </w:r>
      <w:proofErr w:type="spellStart"/>
      <w:r w:rsidR="005928FD">
        <w:rPr>
          <w:rFonts w:ascii="Cambria" w:hAnsi="Cambria" w:cs="Times New Roman"/>
        </w:rPr>
        <w:t>dianggap</w:t>
      </w:r>
      <w:proofErr w:type="spellEnd"/>
      <w:r w:rsidR="005928FD">
        <w:rPr>
          <w:rFonts w:ascii="Cambria" w:hAnsi="Cambria" w:cs="Times New Roman"/>
        </w:rPr>
        <w:t xml:space="preserve"> </w:t>
      </w:r>
      <w:proofErr w:type="spellStart"/>
      <w:r w:rsidR="005928FD">
        <w:rPr>
          <w:rFonts w:ascii="Cambria" w:hAnsi="Cambria" w:cs="Times New Roman"/>
        </w:rPr>
        <w:t>terlalu</w:t>
      </w:r>
      <w:proofErr w:type="spellEnd"/>
      <w:r w:rsidR="005928FD">
        <w:rPr>
          <w:rFonts w:ascii="Cambria" w:hAnsi="Cambria" w:cs="Times New Roman"/>
        </w:rPr>
        <w:t xml:space="preserve"> </w:t>
      </w:r>
      <w:proofErr w:type="spellStart"/>
      <w:r w:rsidR="005928FD">
        <w:rPr>
          <w:rFonts w:ascii="Cambria" w:hAnsi="Cambria" w:cs="Times New Roman"/>
        </w:rPr>
        <w:t>tinggi</w:t>
      </w:r>
      <w:proofErr w:type="spellEnd"/>
      <w:r w:rsidR="005928FD">
        <w:rPr>
          <w:rFonts w:ascii="Cambria" w:hAnsi="Cambria" w:cs="Times New Roman"/>
        </w:rPr>
        <w:t xml:space="preserve"> </w:t>
      </w:r>
      <w:proofErr w:type="spellStart"/>
      <w:r w:rsidR="005928FD">
        <w:rPr>
          <w:rFonts w:ascii="Cambria" w:hAnsi="Cambria" w:cs="Times New Roman"/>
        </w:rPr>
        <w:t>dari</w:t>
      </w:r>
      <w:proofErr w:type="spellEnd"/>
      <w:r w:rsidR="005928FD">
        <w:rPr>
          <w:rFonts w:ascii="Cambria" w:hAnsi="Cambria" w:cs="Times New Roman"/>
        </w:rPr>
        <w:t xml:space="preserve"> </w:t>
      </w:r>
      <w:proofErr w:type="spellStart"/>
      <w:r w:rsidR="005928FD">
        <w:rPr>
          <w:rFonts w:ascii="Cambria" w:hAnsi="Cambria" w:cs="Times New Roman"/>
        </w:rPr>
        <w:t>kebutuhan</w:t>
      </w:r>
      <w:proofErr w:type="spellEnd"/>
      <w:r w:rsidR="005928FD">
        <w:rPr>
          <w:rFonts w:ascii="Cambria" w:hAnsi="Cambria" w:cs="Times New Roman"/>
        </w:rPr>
        <w:t xml:space="preserve"> </w:t>
      </w:r>
      <w:proofErr w:type="spellStart"/>
      <w:r w:rsidR="005928FD">
        <w:rPr>
          <w:rFonts w:ascii="Cambria" w:hAnsi="Cambria" w:cs="Times New Roman"/>
        </w:rPr>
        <w:t>harian</w:t>
      </w:r>
      <w:proofErr w:type="spellEnd"/>
      <w:r w:rsidR="005928FD">
        <w:rPr>
          <w:rFonts w:ascii="Cambria" w:hAnsi="Cambria" w:cs="Times New Roman"/>
        </w:rPr>
        <w:t xml:space="preserve"> 102 mg/</w:t>
      </w:r>
      <w:proofErr w:type="spellStart"/>
      <w:r w:rsidR="005928FD">
        <w:rPr>
          <w:rFonts w:ascii="Cambria" w:hAnsi="Cambria" w:cs="Times New Roman"/>
        </w:rPr>
        <w:t>hari</w:t>
      </w:r>
      <w:proofErr w:type="spellEnd"/>
      <w:r w:rsidR="005928FD">
        <w:rPr>
          <w:rFonts w:ascii="Cambria" w:hAnsi="Cambria" w:cs="Times New Roman"/>
        </w:rPr>
        <w:t xml:space="preserve">, </w:t>
      </w:r>
      <w:proofErr w:type="spellStart"/>
      <w:r w:rsidR="005928FD">
        <w:rPr>
          <w:rFonts w:ascii="Cambria" w:hAnsi="Cambria" w:cs="Times New Roman"/>
        </w:rPr>
        <w:t>maka</w:t>
      </w:r>
      <w:proofErr w:type="spellEnd"/>
      <w:r w:rsidR="005928FD">
        <w:rPr>
          <w:rFonts w:ascii="Cambria" w:hAnsi="Cambria" w:cs="Times New Roman"/>
        </w:rPr>
        <w:t xml:space="preserve"> </w:t>
      </w:r>
      <w:proofErr w:type="spellStart"/>
      <w:r w:rsidR="005928FD">
        <w:rPr>
          <w:rFonts w:ascii="Cambria" w:hAnsi="Cambria" w:cs="Times New Roman"/>
        </w:rPr>
        <w:t>takaran</w:t>
      </w:r>
      <w:proofErr w:type="spellEnd"/>
      <w:r w:rsidR="005928FD">
        <w:rPr>
          <w:rFonts w:ascii="Cambria" w:hAnsi="Cambria" w:cs="Times New Roman"/>
        </w:rPr>
        <w:t xml:space="preserve"> </w:t>
      </w:r>
      <w:proofErr w:type="spellStart"/>
      <w:r w:rsidR="005928FD">
        <w:rPr>
          <w:rFonts w:ascii="Cambria" w:hAnsi="Cambria" w:cs="Times New Roman"/>
        </w:rPr>
        <w:t>saji</w:t>
      </w:r>
      <w:proofErr w:type="spellEnd"/>
      <w:r w:rsidR="005928FD">
        <w:rPr>
          <w:rFonts w:ascii="Cambria" w:hAnsi="Cambria" w:cs="Times New Roman"/>
        </w:rPr>
        <w:t xml:space="preserve"> yang </w:t>
      </w:r>
      <w:proofErr w:type="spellStart"/>
      <w:r w:rsidR="005928FD">
        <w:rPr>
          <w:rFonts w:ascii="Cambria" w:hAnsi="Cambria" w:cs="Times New Roman"/>
        </w:rPr>
        <w:t>dapat</w:t>
      </w:r>
      <w:proofErr w:type="spellEnd"/>
      <w:r w:rsidR="005928FD">
        <w:rPr>
          <w:rFonts w:ascii="Cambria" w:hAnsi="Cambria" w:cs="Times New Roman"/>
        </w:rPr>
        <w:t xml:space="preserve"> </w:t>
      </w:r>
      <w:proofErr w:type="spellStart"/>
      <w:r w:rsidR="005928FD">
        <w:rPr>
          <w:rFonts w:ascii="Cambria" w:hAnsi="Cambria" w:cs="Times New Roman"/>
        </w:rPr>
        <w:t>dipertimbangkan</w:t>
      </w:r>
      <w:proofErr w:type="spellEnd"/>
      <w:r w:rsidR="005928FD">
        <w:rPr>
          <w:rFonts w:ascii="Cambria" w:hAnsi="Cambria" w:cs="Times New Roman"/>
        </w:rPr>
        <w:t xml:space="preserve"> </w:t>
      </w:r>
      <w:proofErr w:type="spellStart"/>
      <w:r w:rsidR="005928FD">
        <w:rPr>
          <w:rFonts w:ascii="Cambria" w:hAnsi="Cambria" w:cs="Times New Roman"/>
        </w:rPr>
        <w:t>adalah</w:t>
      </w:r>
      <w:proofErr w:type="spellEnd"/>
      <w:r w:rsidR="005928FD">
        <w:rPr>
          <w:rFonts w:ascii="Cambria" w:hAnsi="Cambria" w:cs="Times New Roman"/>
        </w:rPr>
        <w:t xml:space="preserve"> 25 g biscuit </w:t>
      </w:r>
      <w:proofErr w:type="spellStart"/>
      <w:r w:rsidR="005928FD">
        <w:rPr>
          <w:rFonts w:ascii="Cambria" w:hAnsi="Cambria" w:cs="Times New Roman"/>
        </w:rPr>
        <w:t>rempah</w:t>
      </w:r>
      <w:proofErr w:type="spellEnd"/>
      <w:r w:rsidR="005928FD">
        <w:rPr>
          <w:rFonts w:ascii="Cambria" w:hAnsi="Cambria" w:cs="Times New Roman"/>
        </w:rPr>
        <w:t xml:space="preserve"> per </w:t>
      </w:r>
      <w:proofErr w:type="spellStart"/>
      <w:r w:rsidR="005928FD">
        <w:rPr>
          <w:rFonts w:ascii="Cambria" w:hAnsi="Cambria" w:cs="Times New Roman"/>
        </w:rPr>
        <w:t>hari</w:t>
      </w:r>
      <w:proofErr w:type="spellEnd"/>
      <w:r w:rsidR="005928FD">
        <w:rPr>
          <w:rFonts w:ascii="Cambria" w:hAnsi="Cambria" w:cs="Times New Roman"/>
        </w:rPr>
        <w:t xml:space="preserve"> </w:t>
      </w:r>
      <w:proofErr w:type="spellStart"/>
      <w:r w:rsidR="005928FD">
        <w:rPr>
          <w:rFonts w:ascii="Cambria" w:hAnsi="Cambria" w:cs="Times New Roman"/>
        </w:rPr>
        <w:t>sehingga</w:t>
      </w:r>
      <w:proofErr w:type="spellEnd"/>
      <w:r w:rsidR="005928FD">
        <w:rPr>
          <w:rFonts w:ascii="Cambria" w:hAnsi="Cambria" w:cs="Times New Roman"/>
        </w:rPr>
        <w:t xml:space="preserve"> </w:t>
      </w:r>
      <w:proofErr w:type="spellStart"/>
      <w:r w:rsidR="005928FD">
        <w:rPr>
          <w:rFonts w:ascii="Cambria" w:hAnsi="Cambria" w:cs="Times New Roman"/>
        </w:rPr>
        <w:t>antioksidan</w:t>
      </w:r>
      <w:proofErr w:type="spellEnd"/>
      <w:r w:rsidR="005928FD">
        <w:rPr>
          <w:rFonts w:ascii="Cambria" w:hAnsi="Cambria" w:cs="Times New Roman"/>
        </w:rPr>
        <w:t xml:space="preserve"> yang </w:t>
      </w:r>
      <w:proofErr w:type="spellStart"/>
      <w:r w:rsidR="005928FD">
        <w:rPr>
          <w:rFonts w:ascii="Cambria" w:hAnsi="Cambria" w:cs="Times New Roman"/>
        </w:rPr>
        <w:t>diperoleh</w:t>
      </w:r>
      <w:proofErr w:type="spellEnd"/>
      <w:r w:rsidR="005928FD">
        <w:rPr>
          <w:rFonts w:ascii="Cambria" w:hAnsi="Cambria" w:cs="Times New Roman"/>
        </w:rPr>
        <w:t xml:space="preserve"> </w:t>
      </w:r>
      <w:proofErr w:type="spellStart"/>
      <w:r w:rsidR="005928FD">
        <w:rPr>
          <w:rFonts w:ascii="Cambria" w:hAnsi="Cambria" w:cs="Times New Roman"/>
        </w:rPr>
        <w:t>sebesar</w:t>
      </w:r>
      <w:proofErr w:type="spellEnd"/>
      <w:r w:rsidR="005928FD">
        <w:rPr>
          <w:rFonts w:ascii="Cambria" w:hAnsi="Cambria" w:cs="Times New Roman"/>
        </w:rPr>
        <w:t xml:space="preserve"> 343.5 mg/</w:t>
      </w:r>
      <w:proofErr w:type="spellStart"/>
      <w:r w:rsidR="005928FD">
        <w:rPr>
          <w:rFonts w:ascii="Cambria" w:hAnsi="Cambria" w:cs="Times New Roman"/>
        </w:rPr>
        <w:t>hari</w:t>
      </w:r>
      <w:proofErr w:type="spellEnd"/>
      <w:r w:rsidR="008D2E65">
        <w:rPr>
          <w:rFonts w:ascii="Cambria" w:hAnsi="Cambria" w:cs="Times New Roman"/>
        </w:rPr>
        <w:t xml:space="preserve"> dan </w:t>
      </w:r>
      <w:proofErr w:type="spellStart"/>
      <w:r w:rsidR="008D2E65">
        <w:rPr>
          <w:rFonts w:ascii="Cambria" w:hAnsi="Cambria" w:cs="Times New Roman"/>
        </w:rPr>
        <w:t>energi</w:t>
      </w:r>
      <w:proofErr w:type="spellEnd"/>
      <w:r w:rsidR="008D2E65">
        <w:rPr>
          <w:rFonts w:ascii="Cambria" w:hAnsi="Cambria" w:cs="Times New Roman"/>
        </w:rPr>
        <w:t xml:space="preserve"> </w:t>
      </w:r>
      <w:proofErr w:type="spellStart"/>
      <w:r w:rsidR="008D2E65">
        <w:rPr>
          <w:rFonts w:ascii="Cambria" w:hAnsi="Cambria" w:cs="Times New Roman"/>
        </w:rPr>
        <w:t>sebesar</w:t>
      </w:r>
      <w:proofErr w:type="spellEnd"/>
      <w:r w:rsidR="008D2E65">
        <w:rPr>
          <w:rFonts w:ascii="Cambria" w:hAnsi="Cambria" w:cs="Times New Roman"/>
        </w:rPr>
        <w:t xml:space="preserve"> 112 </w:t>
      </w:r>
      <w:proofErr w:type="spellStart"/>
      <w:r w:rsidR="008D2E65">
        <w:rPr>
          <w:rFonts w:ascii="Cambria" w:hAnsi="Cambria" w:cs="Times New Roman"/>
        </w:rPr>
        <w:t>kkal</w:t>
      </w:r>
      <w:proofErr w:type="spellEnd"/>
      <w:r w:rsidR="005928FD">
        <w:rPr>
          <w:rFonts w:ascii="Cambria" w:hAnsi="Cambria" w:cs="Times New Roman"/>
        </w:rPr>
        <w:t>.</w:t>
      </w:r>
    </w:p>
    <w:p w14:paraId="2B35654E" w14:textId="04E347CA" w:rsidR="009547AC" w:rsidRDefault="005928FD" w:rsidP="0066515B">
      <w:pPr>
        <w:spacing w:after="0" w:line="240" w:lineRule="auto"/>
        <w:ind w:firstLine="720"/>
        <w:jc w:val="both"/>
        <w:rPr>
          <w:rFonts w:ascii="Cambria" w:hAnsi="Cambria" w:cs="Times New Roman"/>
        </w:rPr>
      </w:pPr>
      <w:proofErr w:type="spellStart"/>
      <w:r>
        <w:rPr>
          <w:rFonts w:ascii="Cambria" w:hAnsi="Cambria" w:cs="Times New Roman"/>
        </w:rPr>
        <w:t>Tingginya</w:t>
      </w:r>
      <w:proofErr w:type="spellEnd"/>
      <w:r>
        <w:rPr>
          <w:rFonts w:ascii="Cambria" w:hAnsi="Cambria" w:cs="Times New Roman"/>
        </w:rPr>
        <w:t xml:space="preserve"> </w:t>
      </w:r>
      <w:proofErr w:type="spellStart"/>
      <w:r>
        <w:rPr>
          <w:rFonts w:ascii="Cambria" w:hAnsi="Cambria" w:cs="Times New Roman"/>
        </w:rPr>
        <w:t>kadar</w:t>
      </w:r>
      <w:proofErr w:type="spellEnd"/>
      <w:r>
        <w:rPr>
          <w:rFonts w:ascii="Cambria" w:hAnsi="Cambria" w:cs="Times New Roman"/>
        </w:rPr>
        <w:t xml:space="preserve"> </w:t>
      </w:r>
      <w:proofErr w:type="spellStart"/>
      <w:r>
        <w:rPr>
          <w:rFonts w:ascii="Cambria" w:hAnsi="Cambria" w:cs="Times New Roman"/>
        </w:rPr>
        <w:t>antioksidan</w:t>
      </w:r>
      <w:proofErr w:type="spellEnd"/>
      <w:r>
        <w:rPr>
          <w:rFonts w:ascii="Cambria" w:hAnsi="Cambria" w:cs="Times New Roman"/>
        </w:rPr>
        <w:t xml:space="preserve"> biscuit </w:t>
      </w:r>
      <w:proofErr w:type="spellStart"/>
      <w:r>
        <w:rPr>
          <w:rFonts w:ascii="Cambria" w:hAnsi="Cambria" w:cs="Times New Roman"/>
        </w:rPr>
        <w:t>rempah</w:t>
      </w:r>
      <w:proofErr w:type="spellEnd"/>
      <w:r>
        <w:rPr>
          <w:rFonts w:ascii="Cambria" w:hAnsi="Cambria" w:cs="Times New Roman"/>
        </w:rPr>
        <w:t xml:space="preserve"> </w:t>
      </w:r>
      <w:proofErr w:type="spellStart"/>
      <w:r>
        <w:rPr>
          <w:rFonts w:ascii="Cambria" w:hAnsi="Cambria" w:cs="Times New Roman"/>
        </w:rPr>
        <w:t>disebabkan</w:t>
      </w:r>
      <w:proofErr w:type="spellEnd"/>
      <w:r>
        <w:rPr>
          <w:rFonts w:ascii="Cambria" w:hAnsi="Cambria" w:cs="Times New Roman"/>
        </w:rPr>
        <w:t xml:space="preserve"> oleh </w:t>
      </w:r>
      <w:proofErr w:type="spellStart"/>
      <w:r>
        <w:rPr>
          <w:rFonts w:ascii="Cambria" w:hAnsi="Cambria" w:cs="Times New Roman"/>
        </w:rPr>
        <w:t>komposisi</w:t>
      </w:r>
      <w:proofErr w:type="spellEnd"/>
      <w:r>
        <w:rPr>
          <w:rFonts w:ascii="Cambria" w:hAnsi="Cambria" w:cs="Times New Roman"/>
        </w:rPr>
        <w:t xml:space="preserve"> </w:t>
      </w:r>
      <w:proofErr w:type="spellStart"/>
      <w:r>
        <w:rPr>
          <w:rFonts w:ascii="Cambria" w:hAnsi="Cambria" w:cs="Times New Roman"/>
        </w:rPr>
        <w:t>rempah-rempah</w:t>
      </w:r>
      <w:proofErr w:type="spellEnd"/>
      <w:r>
        <w:rPr>
          <w:rFonts w:ascii="Cambria" w:hAnsi="Cambria" w:cs="Times New Roman"/>
        </w:rPr>
        <w:t xml:space="preserve"> </w:t>
      </w:r>
      <w:proofErr w:type="spellStart"/>
      <w:r>
        <w:rPr>
          <w:rFonts w:ascii="Cambria" w:hAnsi="Cambria" w:cs="Times New Roman"/>
        </w:rPr>
        <w:t>sebagai</w:t>
      </w:r>
      <w:proofErr w:type="spellEnd"/>
      <w:r>
        <w:rPr>
          <w:rFonts w:ascii="Cambria" w:hAnsi="Cambria" w:cs="Times New Roman"/>
        </w:rPr>
        <w:t xml:space="preserve"> </w:t>
      </w:r>
      <w:proofErr w:type="spellStart"/>
      <w:r>
        <w:rPr>
          <w:rFonts w:ascii="Cambria" w:hAnsi="Cambria" w:cs="Times New Roman"/>
        </w:rPr>
        <w:t>bahan</w:t>
      </w:r>
      <w:proofErr w:type="spellEnd"/>
      <w:r>
        <w:rPr>
          <w:rFonts w:ascii="Cambria" w:hAnsi="Cambria" w:cs="Times New Roman"/>
        </w:rPr>
        <w:t xml:space="preserve"> </w:t>
      </w:r>
      <w:proofErr w:type="spellStart"/>
      <w:r>
        <w:rPr>
          <w:rFonts w:ascii="Cambria" w:hAnsi="Cambria" w:cs="Times New Roman"/>
        </w:rPr>
        <w:t>baku</w:t>
      </w:r>
      <w:proofErr w:type="spellEnd"/>
      <w:r>
        <w:rPr>
          <w:rFonts w:ascii="Cambria" w:hAnsi="Cambria" w:cs="Times New Roman"/>
        </w:rPr>
        <w:t xml:space="preserve"> biscuit. </w:t>
      </w:r>
      <w:r w:rsidR="009547AC" w:rsidRPr="004A5FFC">
        <w:rPr>
          <w:rFonts w:ascii="Cambria" w:hAnsi="Cambria" w:cs="Times New Roman"/>
        </w:rPr>
        <w:t xml:space="preserve">Salah </w:t>
      </w:r>
      <w:proofErr w:type="spellStart"/>
      <w:r w:rsidR="009547AC" w:rsidRPr="004A5FFC">
        <w:rPr>
          <w:rFonts w:ascii="Cambria" w:hAnsi="Cambria" w:cs="Times New Roman"/>
        </w:rPr>
        <w:t>satu</w:t>
      </w:r>
      <w:r>
        <w:rPr>
          <w:rFonts w:ascii="Cambria" w:hAnsi="Cambria" w:cs="Times New Roman"/>
        </w:rPr>
        <w:t>nya</w:t>
      </w:r>
      <w:proofErr w:type="spellEnd"/>
      <w:r>
        <w:rPr>
          <w:rFonts w:ascii="Cambria" w:hAnsi="Cambria" w:cs="Times New Roman"/>
        </w:rPr>
        <w:t xml:space="preserve"> </w:t>
      </w:r>
      <w:proofErr w:type="spellStart"/>
      <w:r>
        <w:rPr>
          <w:rFonts w:ascii="Cambria" w:hAnsi="Cambria" w:cs="Times New Roman"/>
        </w:rPr>
        <w:t>adalah</w:t>
      </w:r>
      <w:proofErr w:type="spellEnd"/>
      <w:r>
        <w:rPr>
          <w:rFonts w:ascii="Cambria" w:hAnsi="Cambria" w:cs="Times New Roman"/>
        </w:rPr>
        <w:t xml:space="preserve"> </w:t>
      </w:r>
      <w:proofErr w:type="spellStart"/>
      <w:r w:rsidR="009547AC" w:rsidRPr="004A5FFC">
        <w:rPr>
          <w:rFonts w:ascii="Cambria" w:hAnsi="Cambria" w:cs="Times New Roman"/>
        </w:rPr>
        <w:t>jahe</w:t>
      </w:r>
      <w:proofErr w:type="spellEnd"/>
      <w:r w:rsidR="009547AC" w:rsidRPr="004A5FFC">
        <w:rPr>
          <w:rFonts w:ascii="Cambria" w:hAnsi="Cambria" w:cs="Times New Roman"/>
        </w:rPr>
        <w:t xml:space="preserve">. Banyak </w:t>
      </w:r>
      <w:proofErr w:type="spellStart"/>
      <w:r w:rsidR="009547AC" w:rsidRPr="004A5FFC">
        <w:rPr>
          <w:rFonts w:ascii="Cambria" w:hAnsi="Cambria" w:cs="Times New Roman"/>
        </w:rPr>
        <w:t>senyawa</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bioaktif</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dalam</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jahe</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telah</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diidentifikasi</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seperti</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senyawa</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fenolik</w:t>
      </w:r>
      <w:proofErr w:type="spellEnd"/>
      <w:r w:rsidR="009547AC" w:rsidRPr="004A5FFC">
        <w:rPr>
          <w:rFonts w:ascii="Cambria" w:hAnsi="Cambria" w:cs="Times New Roman"/>
        </w:rPr>
        <w:t xml:space="preserve"> dan terpene. </w:t>
      </w:r>
      <w:proofErr w:type="spellStart"/>
      <w:r w:rsidR="009547AC" w:rsidRPr="004A5FFC">
        <w:rPr>
          <w:rFonts w:ascii="Cambria" w:hAnsi="Cambria" w:cs="Times New Roman"/>
        </w:rPr>
        <w:t>Kandungan</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senyawa</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fenolik</w:t>
      </w:r>
      <w:proofErr w:type="spellEnd"/>
      <w:r w:rsidR="009547AC" w:rsidRPr="004A5FFC">
        <w:rPr>
          <w:rFonts w:ascii="Cambria" w:hAnsi="Cambria" w:cs="Times New Roman"/>
        </w:rPr>
        <w:t xml:space="preserve"> yang </w:t>
      </w:r>
      <w:proofErr w:type="spellStart"/>
      <w:r w:rsidR="009547AC" w:rsidRPr="004A5FFC">
        <w:rPr>
          <w:rFonts w:ascii="Cambria" w:hAnsi="Cambria" w:cs="Times New Roman"/>
        </w:rPr>
        <w:t>utama</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dalam</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jahe</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adalah</w:t>
      </w:r>
      <w:proofErr w:type="spellEnd"/>
      <w:r w:rsidR="009547AC" w:rsidRPr="004A5FFC">
        <w:rPr>
          <w:rFonts w:ascii="Cambria" w:hAnsi="Cambria" w:cs="Times New Roman"/>
        </w:rPr>
        <w:t xml:space="preserve"> gingerol, shogaols, dan </w:t>
      </w:r>
      <w:proofErr w:type="spellStart"/>
      <w:r w:rsidR="009547AC" w:rsidRPr="004A5FFC">
        <w:rPr>
          <w:rFonts w:ascii="Cambria" w:hAnsi="Cambria" w:cs="Times New Roman"/>
        </w:rPr>
        <w:t>paradol</w:t>
      </w:r>
      <w:proofErr w:type="spellEnd"/>
      <w:r w:rsidR="009547AC" w:rsidRPr="004A5FFC">
        <w:rPr>
          <w:rFonts w:ascii="Cambria" w:hAnsi="Cambria" w:cs="Times New Roman"/>
        </w:rPr>
        <w:t xml:space="preserve"> </w:t>
      </w:r>
      <w:r w:rsidR="00213308">
        <w:rPr>
          <w:rFonts w:ascii="Cambria" w:hAnsi="Cambria" w:cs="Times New Roman"/>
        </w:rPr>
        <w:fldChar w:fldCharType="begin" w:fldLock="1"/>
      </w:r>
      <w:r w:rsidR="00213308">
        <w:rPr>
          <w:rFonts w:ascii="Cambria" w:hAnsi="Cambria" w:cs="Times New Roman"/>
        </w:rPr>
        <w:instrText>ADDIN CSL_CITATION {"citationItems":[{"id":"ITEM-1","itemData":{"DOI":"10.1158/1940-6207.CAPR-13-0055","ISBN":"4149556059","ISSN":"19406207","PMID":"23559451","abstract":"On the basis of substantial preclinical data showing the preventive efficacy of ginger and its constituents in vitro and in animal models, as well as a phase I pilot trial indicating that ginger extract is well tolerated in humans, Citronberg and colleagues conducted a pilot trial of ginger extract (2 g/day for 28 days) on biomarkers of cell proliferation [human telomerase reverse transcriptase (hTERT), MIB-1], differentiation (p21waf1/cip1), and apoptosis (Bax, Bcl-2) in colonic mucosa from individuals at high-risk for colorectal cancer. Results from the trial suggest that ginger may reduce proliferation in normal-appearing colorectal epithelium and increase apoptosis relative to proliferation, especially in the differentiation zone of colon crypts. The authors suggest that these results support a larger study to confirm the pilot data. Before proceeding with a larger trial, however, it seems prudent to confirm ginger as a chemopreventive for colorectal cancer in animals, particularly when tested in postinitiation protocols and to identify reliable molecular biomarkers of effect that could be evaluated in clinical trials. Pharmacokinetic studies to examine the distribution and localization of ginger compounds and metabolites in the differentiation and proliferative zones of colonic crypts in animals and humans would also be informative. Finally, because the effects of ginger on normal colonic mucosa seem minimal, consideration should be given to the conduct of future trials in humans with premalignant colorectal disease. © 2013 AACR.","author":[{"dropping-particle":"","family":"Stoner","given":"Gary D.","non-dropping-particle":"","parse-names":false,"suffix":""}],"container-title":"Cancer Prevention Research","id":"ITEM-1","issue":"4","issued":{"date-parts":[["2013"]]},"page":"257-262","title":"Ginger: Is it ready for prime time?","type":"article-journal","volume":"6"},"uris":["http://www.mendeley.com/documents/?uuid=6f1b7ab8-57c1-440a-b6f8-22aff358c52d"]}],"mendeley":{"formattedCitation":"(Stoner, 2013)","plainTextFormattedCitation":"(Stoner, 2013)","previouslyFormattedCitation":"(Stoner, 2013)"},"properties":{"noteIndex":0},"schema":"https://github.com/citation-style-language/schema/raw/master/csl-citation.json"}</w:instrText>
      </w:r>
      <w:r w:rsidR="00213308">
        <w:rPr>
          <w:rFonts w:ascii="Cambria" w:hAnsi="Cambria" w:cs="Times New Roman"/>
        </w:rPr>
        <w:fldChar w:fldCharType="separate"/>
      </w:r>
      <w:r w:rsidR="00213308" w:rsidRPr="00213308">
        <w:rPr>
          <w:rFonts w:ascii="Cambria" w:hAnsi="Cambria" w:cs="Times New Roman"/>
          <w:noProof/>
        </w:rPr>
        <w:t>(Stoner, 2013)</w:t>
      </w:r>
      <w:r w:rsidR="00213308">
        <w:rPr>
          <w:rFonts w:ascii="Cambria" w:hAnsi="Cambria" w:cs="Times New Roman"/>
        </w:rPr>
        <w:fldChar w:fldCharType="end"/>
      </w:r>
      <w:r w:rsidR="00213308">
        <w:rPr>
          <w:rFonts w:ascii="Cambria" w:hAnsi="Cambria" w:cs="Times New Roman"/>
        </w:rPr>
        <w:t xml:space="preserve">. </w:t>
      </w:r>
      <w:proofErr w:type="spellStart"/>
      <w:r w:rsidR="009547AC" w:rsidRPr="004A5FFC">
        <w:rPr>
          <w:rFonts w:ascii="Cambria" w:hAnsi="Cambria" w:cs="Times New Roman"/>
        </w:rPr>
        <w:t>Penelitian</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beberapa</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tahun</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terakhir</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jahe</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telah</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ditemukan</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memiliki</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aktivitas</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biologis</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seperti</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aktivitas</w:t>
      </w:r>
      <w:proofErr w:type="spellEnd"/>
      <w:r w:rsidR="009547AC" w:rsidRPr="004A5FFC">
        <w:rPr>
          <w:rFonts w:ascii="Cambria" w:hAnsi="Cambria" w:cs="Times New Roman"/>
        </w:rPr>
        <w:t xml:space="preserve"> </w:t>
      </w:r>
      <w:proofErr w:type="spellStart"/>
      <w:r w:rsidR="009547AC" w:rsidRPr="004A5FFC">
        <w:rPr>
          <w:rFonts w:ascii="Cambria" w:hAnsi="Cambria" w:cs="Times New Roman"/>
        </w:rPr>
        <w:t>antioksidan</w:t>
      </w:r>
      <w:proofErr w:type="spellEnd"/>
      <w:r w:rsidR="009547AC" w:rsidRPr="004A5FFC">
        <w:rPr>
          <w:rFonts w:ascii="Cambria" w:hAnsi="Cambria" w:cs="Times New Roman"/>
        </w:rPr>
        <w:t xml:space="preserve"> </w:t>
      </w:r>
      <w:r w:rsidR="00213308">
        <w:rPr>
          <w:rFonts w:ascii="Cambria" w:hAnsi="Cambria" w:cs="Times New Roman"/>
        </w:rPr>
        <w:fldChar w:fldCharType="begin" w:fldLock="1"/>
      </w:r>
      <w:r w:rsidR="00213308">
        <w:rPr>
          <w:rFonts w:ascii="Cambria" w:hAnsi="Cambria" w:cs="Times New Roman"/>
        </w:rPr>
        <w:instrText>ADDIN CSL_CITATION {"citationItems":[{"id":"ITEM-1","itemData":{"DOI":"10.1016/j.indcrop.2015.03.033","ISBN":"8224503739","ISSN":"09266690","abstract":"Ginger, Zingiber officinale Roscoe, is a spice used as a medicinal plant in many countries. We are the first to report the HPTLC analysis of ginger extract and analysis of their active principles with comparative antioxidant, anti-inflammatory, and xanthine oxidase inhibitory activities. The five fractions were obtained by using different polarity solvents with selective extraction procedure from ginger rhizomes and found that they revealed the difference in bioactivity against studied parameters. The ethyl acetate extract (EAE) showed significant antioxidant activity studied by DPPH, FRAP, and H&lt;inf&gt;2&lt;/inf&gt;O&lt;inf&gt;2&lt;/inf&gt; assay (IC&lt;inf&gt;50&lt;/inf&gt;±SEM [μg/mL]: 6.8±0.6, 12±0.2, and 20±2.5, respectively). In the xanthine/xanthine oxidase system, the antioxidant potentials of EAE and the water extract (WE) (% inhibition: 76% and 74%, respectively) were higher than those of the ethanol extract (EE), diethyl ether extract (DEE), and n-butanol extract (NBE). Regarding anti-inflammatory activity, EAE exhibited greater inhibition of lipoxidase (80%), and β-glucuronidase (78%) compared to hyaluronidase (46%) and diene-conjugates (37%). Chromatographic analysis revealed that several principal substances including 6-gingerol, 6-shogaol, and 6-paradol were responsible for the biological activities for ginger. Compound 6-gingerol revealed high FRAP-reducing activity (IC&lt;inf&gt;50&lt;/inf&gt;±SEM [μM]: 5±0.4). 6-Gingerol also significantly inhibited the activities of xanthine oxidase (85%), lipoxidase (87%), β-glucuronidase (85%), and hyaluronidase (56%), respectively. These results indicated that ginger rhizome fractions and its active constituents having promising antioxidant, anti-inflammatory, and anti-gout properties and might be used as potential natural drug against oxidative stress and inflammatory related diseases after successful in vivo study and clinical trials.","author":[{"dropping-particle":"","family":"Nile","given":"Shivraj Hariram","non-dropping-particle":"","parse-names":false,"suffix":""},{"dropping-particle":"","family":"Park","given":"Se Won","non-dropping-particle":"","parse-names":false,"suffix":""}],"container-title":"Industrial Crops and Products","id":"ITEM-1","issued":{"date-parts":[["2015"]]},"page":"238-244","publisher":"Elsevier B.V.","title":"Chromatographic analysis, antioxidant, anti-inflammatory, and xanthine oxidase inhibitory activities of ginger extracts and its reference compounds","type":"article-journal","volume":"70"},"uris":["http://www.mendeley.com/documents/?uuid=0fcf2098-381f-4332-b35f-cd04986c7189"]}],"mendeley":{"formattedCitation":"(Nile &amp; Park, 2015)","plainTextFormattedCitation":"(Nile &amp; Park, 2015)","previouslyFormattedCitation":"(Nile &amp; Park, 2015)"},"properties":{"noteIndex":0},"schema":"https://github.com/citation-style-language/schema/raw/master/csl-citation.json"}</w:instrText>
      </w:r>
      <w:r w:rsidR="00213308">
        <w:rPr>
          <w:rFonts w:ascii="Cambria" w:hAnsi="Cambria" w:cs="Times New Roman"/>
        </w:rPr>
        <w:fldChar w:fldCharType="separate"/>
      </w:r>
      <w:r w:rsidR="00213308" w:rsidRPr="00213308">
        <w:rPr>
          <w:rFonts w:ascii="Cambria" w:hAnsi="Cambria" w:cs="Times New Roman"/>
          <w:noProof/>
        </w:rPr>
        <w:t>(Nile &amp; Park, 2015)</w:t>
      </w:r>
      <w:r w:rsidR="00213308">
        <w:rPr>
          <w:rFonts w:ascii="Cambria" w:hAnsi="Cambria" w:cs="Times New Roman"/>
        </w:rPr>
        <w:fldChar w:fldCharType="end"/>
      </w:r>
      <w:r w:rsidR="008D2E65" w:rsidRPr="008D2E65">
        <w:rPr>
          <w:rFonts w:ascii="Cambria" w:hAnsi="Cambria" w:cs="Times New Roman"/>
        </w:rPr>
        <w:t xml:space="preserve"> </w:t>
      </w:r>
      <w:r w:rsidR="008D2E65" w:rsidRPr="00196BDC">
        <w:rPr>
          <w:rFonts w:ascii="Cambria" w:hAnsi="Cambria" w:cs="Times New Roman"/>
        </w:rPr>
        <w:t>anti-</w:t>
      </w:r>
      <w:proofErr w:type="spellStart"/>
      <w:r w:rsidR="008D2E65" w:rsidRPr="00196BDC">
        <w:rPr>
          <w:rFonts w:ascii="Cambria" w:hAnsi="Cambria" w:cs="Times New Roman"/>
        </w:rPr>
        <w:t>inflamasi</w:t>
      </w:r>
      <w:proofErr w:type="spellEnd"/>
      <w:r w:rsidR="008D2E65">
        <w:rPr>
          <w:rFonts w:ascii="Cambria" w:hAnsi="Cambria" w:cs="Times New Roman"/>
        </w:rPr>
        <w:t xml:space="preserve"> </w:t>
      </w:r>
      <w:r w:rsidR="008D2E65" w:rsidRPr="00196BDC">
        <w:rPr>
          <w:rFonts w:ascii="Cambria" w:hAnsi="Cambria" w:cs="Times New Roman"/>
        </w:rPr>
        <w:fldChar w:fldCharType="begin" w:fldLock="1"/>
      </w:r>
      <w:r w:rsidR="008D2E65">
        <w:rPr>
          <w:rFonts w:ascii="Cambria" w:hAnsi="Cambria" w:cs="Times New Roman"/>
        </w:rPr>
        <w:instrText>ADDIN CSL_CITATION {"citationItems":[{"id":"ITEM-1","itemData":{"DOI":"10.1016/j.biomaterials.2016.06.018","ISSN":"18785905","PMID":"27318094","abstract":"There is a clinical need for new, more effective treatments for chronic and debilitating inflammatory bowel disease (IBD), including Crohn's disease and ulcerative colitis. In this study, we characterized a specific population of nanoparticles derived from edible ginger (GDNPs 2) and demonstrated their efficient colon targeting following oral administration. GDNPs 2 had an average size of ~230 nm and exhibited a negative zeta potential. These nanoparticles contained high levels of lipids, a few proteins, ~125 microRNAs (miRNAs), and large amounts of ginger bioactive constituents (6-gingerol and 6-shogaol). We also demonstrated that GDNPs 2 were mainly taken up by intestinal epithelial cells (IECs) and macrophages, and were nontoxic. Using different mouse colitis models, we showed that GDNPs 2 reduced acute colitis, enhanced intestinal repair, and prevented chronic colitis and colitis-associated cancer (CAC). 2D-DIGE/MS analyses further identified molecular target candidates of GDNPs 2 involved in these mouse models. Oral administration of GDNPs 2 increased the survival and proliferation of IECs and reduced the pro-inflammatory cytokines (TNF-α, IL-6 and IL-1β), and increased the anti-inflammatory cytokines (IL-10 and IL-22) in colitis models, suggesting that GDNPs 2 has the potential to attenuate damaging factors while promoting the healing effect. In conclusion, GDNPs 2, nanoparticles derived from edible ginger, represent a novel, natural delivery mechanism for improving IBD prevention and treatment with an added benefit of overcoming limitations such as potential toxicity and limited production scale that are common with synthetic nanoparticles.","author":[{"dropping-particle":"","family":"Zhang","given":"Mingzhen","non-dropping-particle":"","parse-names":false,"suffix":""},{"dropping-particle":"","family":"Viennois","given":"Emilie","non-dropping-particle":"","parse-names":false,"suffix":""},{"dropping-particle":"","family":"Prasad","given":"Meena","non-dropping-particle":"","parse-names":false,"suffix":""},{"dropping-particle":"","family":"Zhang","given":"Yunchen","non-dropping-particle":"","parse-names":false,"suffix":""},{"dropping-particle":"","family":"Wang","given":"Lixin","non-dropping-particle":"","parse-names":false,"suffix":""},{"dropping-particle":"","family":"Zhang","given":"Zhan","non-dropping-particle":"","parse-names":false,"suffix":""},{"dropping-particle":"","family":"Han","given":"Moon Kwon","non-dropping-particle":"","parse-names":false,"suffix":""},{"dropping-particle":"","family":"Xiao","given":"Bo","non-dropping-particle":"","parse-names":false,"suffix":""},{"dropping-particle":"","family":"Xu","given":"Changlong","non-dropping-particle":"","parse-names":false,"suffix":""},{"dropping-particle":"","family":"Srinivasan","given":"Shanthi","non-dropping-particle":"","parse-names":false,"suffix":""},{"dropping-particle":"","family":"Merlin","given":"Didier","non-dropping-particle":"","parse-names":false,"suffix":""}],"container-title":"Biomaterials","id":"ITEM-1","issued":{"date-parts":[["2016"]]},"page":"321-340","publisher":"Elsevier Ltd","title":"Edible ginger-derived nanoparticles: A novel therapeutic approach for the prevention and treatment of inflammatory bowel disease and colitis-associated cancer","type":"article-journal","volume":"101"},"uris":["http://www.mendeley.com/documents/?uuid=69b8dc3e-459c-4f68-9276-157fdacada88"]}],"mendeley":{"formattedCitation":"(Zhang et al., 2016)","plainTextFormattedCitation":"(Zhang et al., 2016)","previouslyFormattedCitation":"(Zhang et al., 2016)"},"properties":{"noteIndex":0},"schema":"https://github.com/citation-style-language/schema/raw/master/csl-citation.json"}</w:instrText>
      </w:r>
      <w:r w:rsidR="008D2E65" w:rsidRPr="00196BDC">
        <w:rPr>
          <w:rFonts w:ascii="Cambria" w:hAnsi="Cambria" w:cs="Times New Roman"/>
        </w:rPr>
        <w:fldChar w:fldCharType="separate"/>
      </w:r>
      <w:r w:rsidR="008D2E65" w:rsidRPr="00213308">
        <w:rPr>
          <w:rFonts w:ascii="Cambria" w:hAnsi="Cambria" w:cs="Times New Roman"/>
          <w:noProof/>
        </w:rPr>
        <w:t>(Zhang et al., 2016)</w:t>
      </w:r>
      <w:r w:rsidR="008D2E65" w:rsidRPr="00196BDC">
        <w:rPr>
          <w:rFonts w:ascii="Cambria" w:hAnsi="Cambria" w:cs="Times New Roman"/>
        </w:rPr>
        <w:fldChar w:fldCharType="end"/>
      </w:r>
      <w:r w:rsidR="008D2E65" w:rsidRPr="00196BDC">
        <w:rPr>
          <w:rFonts w:ascii="Cambria" w:hAnsi="Cambria" w:cs="Times New Roman"/>
        </w:rPr>
        <w:t xml:space="preserve">, </w:t>
      </w:r>
      <w:proofErr w:type="spellStart"/>
      <w:r w:rsidR="008D2E65" w:rsidRPr="00196BDC">
        <w:rPr>
          <w:rFonts w:ascii="Cambria" w:hAnsi="Cambria" w:cs="Times New Roman"/>
        </w:rPr>
        <w:t>antimikroba</w:t>
      </w:r>
      <w:proofErr w:type="spellEnd"/>
      <w:r w:rsidR="008D2E65">
        <w:rPr>
          <w:rFonts w:ascii="Cambria" w:hAnsi="Cambria" w:cs="Times New Roman"/>
        </w:rPr>
        <w:t xml:space="preserve"> </w:t>
      </w:r>
      <w:r w:rsidR="008D2E65" w:rsidRPr="00196BDC">
        <w:rPr>
          <w:rFonts w:ascii="Cambria" w:hAnsi="Cambria" w:cs="Times New Roman"/>
        </w:rPr>
        <w:fldChar w:fldCharType="begin" w:fldLock="1"/>
      </w:r>
      <w:r w:rsidR="008D2E65">
        <w:rPr>
          <w:rFonts w:ascii="Cambria" w:hAnsi="Cambria" w:cs="Times New Roman"/>
        </w:rPr>
        <w:instrText>ADDIN CSL_CITATION {"citationItems":[{"id":"ITEM-1","itemData":{"DOI":"10.1016/j.foodchem.2014.03.039","ISSN":"18737072","PMID":"24767081","abstract":"Phenolic components of ginger (Zingiber officinale Roscoe) viz. [6]-gingerol, [6]-shogaol and zingerone exhibited quorum sensing inhibitory activity (QSI) against Chromobacterium violaceum and Pseudomonas aeruginosa. The inhibitory activity of all the compounds was studied by zone inhibition, pyocyanin, and violacein assay. All the compounds displayed good inhibition at 500 ppm. [6]-Azashogaol, a new derivative of [6]-shogaol has been synthesized by Beckmann rearrangement of its oxime in the presence of ZnCl2. The structure elucidation of this new derivative was carried out by 1D ( 1H NMR and 13C NMR) and 2D-NMR (COSY, HSQC and NOESY) spectral studies. This compound showed good QSI activity against P. aeruginosa. An isoxazoline derivative of [6]-gingerol was prepared and it exhibited good QSI activity. Present study illustrated that, the phenolic compounds of ginger and their derivatives form a class of compounds with promising QSI activity. © 2014 Elsevier Ltd. All rights reserved.","author":[{"dropping-particle":"","family":"Vijendra Kumar","given":"N.","non-dropping-particle":"","parse-names":false,"suffix":""},{"dropping-particle":"","family":"Murthy","given":"Pushpa S.","non-dropping-particle":"","parse-names":false,"suffix":""},{"dropping-particle":"","family":"Manjunatha","given":"J. R.","non-dropping-particle":"","parse-names":false,"suffix":""},{"dropping-particle":"","family":"Bettadaiah","given":"B. K.","non-dropping-particle":"","parse-names":false,"suffix":""}],"container-title":"Food Chemistry","id":"ITEM-1","issued":{"date-parts":[["2014"]]},"page":"451-457","publisher":"Elsevier Ltd","title":"Synthesis and quorum sensing inhibitory activity of key phenolic compounds of ginger and their derivatives","type":"article-journal","volume":"159"},"uris":["http://www.mendeley.com/documents/?uuid=ccbbddaf-af3d-43ec-bb16-5e9670ff559e"]}],"mendeley":{"formattedCitation":"(Vijendra Kumar et al., 2014)","plainTextFormattedCitation":"(Vijendra Kumar et al., 2014)","previouslyFormattedCitation":"(Vijendra Kumar et al., 2014)"},"properties":{"noteIndex":0},"schema":"https://github.com/citation-style-language/schema/raw/master/csl-citation.json"}</w:instrText>
      </w:r>
      <w:r w:rsidR="008D2E65" w:rsidRPr="00196BDC">
        <w:rPr>
          <w:rFonts w:ascii="Cambria" w:hAnsi="Cambria" w:cs="Times New Roman"/>
        </w:rPr>
        <w:fldChar w:fldCharType="separate"/>
      </w:r>
      <w:r w:rsidR="008D2E65" w:rsidRPr="00213308">
        <w:rPr>
          <w:rFonts w:ascii="Cambria" w:hAnsi="Cambria" w:cs="Times New Roman"/>
          <w:noProof/>
        </w:rPr>
        <w:t>(Vijendra Kumar et al., 2014)</w:t>
      </w:r>
      <w:r w:rsidR="008D2E65" w:rsidRPr="00196BDC">
        <w:rPr>
          <w:rFonts w:ascii="Cambria" w:hAnsi="Cambria" w:cs="Times New Roman"/>
        </w:rPr>
        <w:fldChar w:fldCharType="end"/>
      </w:r>
      <w:r w:rsidR="008D2E65" w:rsidRPr="00196BDC">
        <w:rPr>
          <w:rFonts w:ascii="Cambria" w:hAnsi="Cambria" w:cs="Times New Roman"/>
        </w:rPr>
        <w:t xml:space="preserve">, dan </w:t>
      </w:r>
      <w:proofErr w:type="spellStart"/>
      <w:r w:rsidR="008D2E65" w:rsidRPr="00196BDC">
        <w:rPr>
          <w:rFonts w:ascii="Cambria" w:hAnsi="Cambria" w:cs="Times New Roman"/>
        </w:rPr>
        <w:t>antikanker</w:t>
      </w:r>
      <w:proofErr w:type="spellEnd"/>
      <w:r w:rsidR="008D2E65">
        <w:rPr>
          <w:rFonts w:ascii="Cambria" w:hAnsi="Cambria" w:cs="Times New Roman"/>
        </w:rPr>
        <w:t xml:space="preserve"> </w:t>
      </w:r>
      <w:r w:rsidR="008D2E65" w:rsidRPr="00196BDC">
        <w:rPr>
          <w:rFonts w:ascii="Cambria" w:hAnsi="Cambria" w:cs="Times New Roman"/>
        </w:rPr>
        <w:fldChar w:fldCharType="begin" w:fldLock="1"/>
      </w:r>
      <w:r w:rsidR="00863181">
        <w:rPr>
          <w:rFonts w:ascii="Cambria" w:hAnsi="Cambria" w:cs="Times New Roman"/>
        </w:rPr>
        <w:instrText>ADDIN CSL_CITATION {"citationItems":[{"id":"ITEM-1","itemData":{"DOI":"10.1158/1940-6207.CAPR-12-0327.","ISBN":"6176321972","ISSN":"15378276","PMID":"1000000221","author":[{"dropping-particle":"","family":"Citronberg, J., Bostick, R., Ahearn, T., Turgeon","given":"D.K.","non-dropping-particle":"","parse-names":false,"suffix":""},{"dropping-particle":"al","family":"Ruffin, M.T., Djuric, Z., Sen, A.","given":"et","non-dropping-particle":"","parse-names":false,"suffix":""}],"container-title":"Cancer Prev Res (Phila)","id":"ITEM-1","issue":"4","issued":{"date-parts":[["2013"]]},"page":"271-281","title":"Effects of Ginger Supplementation on Cell Cycle Biomarkers in the Normal-Appearing Colonic Mucosa of Patients at Increased Risk for Colorectal Cancer: Results from a Pilot, Randomized, Controlled Trial","type":"article-journal","volume":"6"},"uris":["http://www.mendeley.com/documents/?uuid=60794614-75ed-48d9-9720-a571f2f6031a"]}],"mendeley":{"formattedCitation":"(Citronberg, J., Bostick, R., Ahearn, T., Turgeon &amp; Ruffin, M.T., Djuric, Z., Sen, A., 2013)","plainTextFormattedCitation":"(Citronberg, J., Bostick, R., Ahearn, T., Turgeon &amp; Ruffin, M.T., Djuric, Z., Sen, A., 2013)","previouslyFormattedCitation":"(Jessica Citronberg, Roberd Bostick, Thomas Ahearn, D. Kim Turgeon &amp; Ruffin, Zora Djuric, Ananda Sen, 2013)"},"properties":{"noteIndex":0},"schema":"https://github.com/citation-style-language/schema/raw/master/csl-citation.json"}</w:instrText>
      </w:r>
      <w:r w:rsidR="008D2E65" w:rsidRPr="00196BDC">
        <w:rPr>
          <w:rFonts w:ascii="Cambria" w:hAnsi="Cambria" w:cs="Times New Roman"/>
        </w:rPr>
        <w:fldChar w:fldCharType="separate"/>
      </w:r>
      <w:r w:rsidR="00863181" w:rsidRPr="00863181">
        <w:rPr>
          <w:rFonts w:ascii="Cambria" w:hAnsi="Cambria" w:cs="Times New Roman"/>
          <w:noProof/>
        </w:rPr>
        <w:t>(Citronberg, J., Bostick, R., Ahearn, T., Turgeon &amp; Ruffin, M.T., Djuric, Z., Sen, A., 2013)</w:t>
      </w:r>
      <w:r w:rsidR="008D2E65" w:rsidRPr="00196BDC">
        <w:rPr>
          <w:rFonts w:ascii="Cambria" w:hAnsi="Cambria" w:cs="Times New Roman"/>
        </w:rPr>
        <w:fldChar w:fldCharType="end"/>
      </w:r>
      <w:r w:rsidR="00F310D8">
        <w:rPr>
          <w:rFonts w:ascii="Cambria" w:hAnsi="Cambria" w:cs="Times New Roman"/>
        </w:rPr>
        <w:t xml:space="preserve">. </w:t>
      </w:r>
      <w:proofErr w:type="spellStart"/>
      <w:r w:rsidR="005B1DDA">
        <w:rPr>
          <w:rFonts w:ascii="Cambria" w:hAnsi="Cambria" w:cs="Times New Roman"/>
        </w:rPr>
        <w:t>Aktivitas</w:t>
      </w:r>
      <w:proofErr w:type="spellEnd"/>
      <w:r w:rsidR="005B1DDA">
        <w:rPr>
          <w:rFonts w:ascii="Cambria" w:hAnsi="Cambria" w:cs="Times New Roman"/>
        </w:rPr>
        <w:t xml:space="preserve"> </w:t>
      </w:r>
      <w:proofErr w:type="spellStart"/>
      <w:r w:rsidR="005B1DDA">
        <w:rPr>
          <w:rFonts w:ascii="Cambria" w:hAnsi="Cambria" w:cs="Times New Roman"/>
        </w:rPr>
        <w:t>antioksidan</w:t>
      </w:r>
      <w:proofErr w:type="spellEnd"/>
      <w:r w:rsidR="005B1DDA">
        <w:rPr>
          <w:rFonts w:ascii="Cambria" w:hAnsi="Cambria" w:cs="Times New Roman"/>
        </w:rPr>
        <w:t xml:space="preserve"> </w:t>
      </w:r>
      <w:proofErr w:type="spellStart"/>
      <w:r w:rsidR="005B1DDA">
        <w:rPr>
          <w:rFonts w:ascii="Cambria" w:hAnsi="Cambria" w:cs="Times New Roman"/>
        </w:rPr>
        <w:t>jahe</w:t>
      </w:r>
      <w:proofErr w:type="spellEnd"/>
      <w:r w:rsidR="005B1DDA">
        <w:rPr>
          <w:rFonts w:ascii="Cambria" w:hAnsi="Cambria" w:cs="Times New Roman"/>
        </w:rPr>
        <w:t xml:space="preserve"> </w:t>
      </w:r>
      <w:proofErr w:type="spellStart"/>
      <w:r w:rsidR="005B1DDA">
        <w:rPr>
          <w:rFonts w:ascii="Cambria" w:hAnsi="Cambria" w:cs="Times New Roman"/>
        </w:rPr>
        <w:t>kering</w:t>
      </w:r>
      <w:proofErr w:type="spellEnd"/>
      <w:r w:rsidR="005B1DDA">
        <w:rPr>
          <w:rFonts w:ascii="Cambria" w:hAnsi="Cambria" w:cs="Times New Roman"/>
        </w:rPr>
        <w:t xml:space="preserve"> </w:t>
      </w:r>
      <w:proofErr w:type="spellStart"/>
      <w:r w:rsidR="005B1DDA">
        <w:rPr>
          <w:rFonts w:ascii="Cambria" w:hAnsi="Cambria" w:cs="Times New Roman"/>
        </w:rPr>
        <w:t>lebih</w:t>
      </w:r>
      <w:proofErr w:type="spellEnd"/>
      <w:r w:rsidR="005B1DDA">
        <w:rPr>
          <w:rFonts w:ascii="Cambria" w:hAnsi="Cambria" w:cs="Times New Roman"/>
        </w:rPr>
        <w:t xml:space="preserve"> </w:t>
      </w:r>
      <w:proofErr w:type="spellStart"/>
      <w:r w:rsidR="005B1DDA">
        <w:rPr>
          <w:rFonts w:ascii="Cambria" w:hAnsi="Cambria" w:cs="Times New Roman"/>
        </w:rPr>
        <w:t>tinggi</w:t>
      </w:r>
      <w:proofErr w:type="spellEnd"/>
      <w:r w:rsidR="005B1DDA">
        <w:rPr>
          <w:rFonts w:ascii="Cambria" w:hAnsi="Cambria" w:cs="Times New Roman"/>
        </w:rPr>
        <w:t xml:space="preserve"> </w:t>
      </w:r>
      <w:proofErr w:type="spellStart"/>
      <w:r w:rsidR="005B1DDA">
        <w:rPr>
          <w:rFonts w:ascii="Cambria" w:hAnsi="Cambria" w:cs="Times New Roman"/>
        </w:rPr>
        <w:t>dibandingkan</w:t>
      </w:r>
      <w:proofErr w:type="spellEnd"/>
      <w:r w:rsidR="005B1DDA">
        <w:rPr>
          <w:rFonts w:ascii="Cambria" w:hAnsi="Cambria" w:cs="Times New Roman"/>
        </w:rPr>
        <w:t xml:space="preserve"> </w:t>
      </w:r>
      <w:proofErr w:type="spellStart"/>
      <w:r w:rsidR="005B1DDA">
        <w:rPr>
          <w:rFonts w:ascii="Cambria" w:hAnsi="Cambria" w:cs="Times New Roman"/>
        </w:rPr>
        <w:t>dengan</w:t>
      </w:r>
      <w:proofErr w:type="spellEnd"/>
      <w:r w:rsidR="005B1DDA">
        <w:rPr>
          <w:rFonts w:ascii="Cambria" w:hAnsi="Cambria" w:cs="Times New Roman"/>
        </w:rPr>
        <w:t xml:space="preserve"> </w:t>
      </w:r>
      <w:proofErr w:type="spellStart"/>
      <w:r w:rsidR="005B1DDA">
        <w:rPr>
          <w:rFonts w:ascii="Cambria" w:hAnsi="Cambria" w:cs="Times New Roman"/>
        </w:rPr>
        <w:t>jahe</w:t>
      </w:r>
      <w:proofErr w:type="spellEnd"/>
      <w:r w:rsidR="005B1DDA">
        <w:rPr>
          <w:rFonts w:ascii="Cambria" w:hAnsi="Cambria" w:cs="Times New Roman"/>
        </w:rPr>
        <w:t xml:space="preserve"> segar </w:t>
      </w:r>
      <w:proofErr w:type="spellStart"/>
      <w:r w:rsidR="005B1DDA">
        <w:rPr>
          <w:rFonts w:ascii="Cambria" w:hAnsi="Cambria" w:cs="Times New Roman"/>
        </w:rPr>
        <w:t>karena</w:t>
      </w:r>
      <w:proofErr w:type="spellEnd"/>
      <w:r w:rsidR="005B1DDA">
        <w:rPr>
          <w:rFonts w:ascii="Cambria" w:hAnsi="Cambria" w:cs="Times New Roman"/>
        </w:rPr>
        <w:t xml:space="preserve"> </w:t>
      </w:r>
      <w:proofErr w:type="spellStart"/>
      <w:r w:rsidR="005B1DDA">
        <w:rPr>
          <w:rFonts w:ascii="Cambria" w:hAnsi="Cambria" w:cs="Times New Roman"/>
        </w:rPr>
        <w:t>jumlah</w:t>
      </w:r>
      <w:proofErr w:type="spellEnd"/>
      <w:r w:rsidR="005B1DDA">
        <w:rPr>
          <w:rFonts w:ascii="Cambria" w:hAnsi="Cambria" w:cs="Times New Roman"/>
        </w:rPr>
        <w:t xml:space="preserve"> </w:t>
      </w:r>
      <w:proofErr w:type="spellStart"/>
      <w:r w:rsidR="005B1DDA">
        <w:rPr>
          <w:rFonts w:ascii="Cambria" w:hAnsi="Cambria" w:cs="Times New Roman"/>
        </w:rPr>
        <w:t>senyawa</w:t>
      </w:r>
      <w:proofErr w:type="spellEnd"/>
      <w:r w:rsidR="005B1DDA">
        <w:rPr>
          <w:rFonts w:ascii="Cambria" w:hAnsi="Cambria" w:cs="Times New Roman"/>
        </w:rPr>
        <w:t xml:space="preserve"> </w:t>
      </w:r>
      <w:proofErr w:type="spellStart"/>
      <w:r w:rsidR="005B1DDA">
        <w:rPr>
          <w:rFonts w:ascii="Cambria" w:hAnsi="Cambria" w:cs="Times New Roman"/>
        </w:rPr>
        <w:t>fenoliknya</w:t>
      </w:r>
      <w:proofErr w:type="spellEnd"/>
      <w:r w:rsidR="005B1DDA">
        <w:rPr>
          <w:rFonts w:ascii="Cambria" w:hAnsi="Cambria" w:cs="Times New Roman"/>
        </w:rPr>
        <w:t xml:space="preserve"> 2,4 kali </w:t>
      </w:r>
      <w:proofErr w:type="spellStart"/>
      <w:r w:rsidR="005B1DDA">
        <w:rPr>
          <w:rFonts w:ascii="Cambria" w:hAnsi="Cambria" w:cs="Times New Roman"/>
        </w:rPr>
        <w:t>lebih</w:t>
      </w:r>
      <w:proofErr w:type="spellEnd"/>
      <w:r w:rsidR="005B1DDA">
        <w:rPr>
          <w:rFonts w:ascii="Cambria" w:hAnsi="Cambria" w:cs="Times New Roman"/>
        </w:rPr>
        <w:t xml:space="preserve"> </w:t>
      </w:r>
      <w:proofErr w:type="spellStart"/>
      <w:r w:rsidR="005B1DDA">
        <w:rPr>
          <w:rFonts w:ascii="Cambria" w:hAnsi="Cambria" w:cs="Times New Roman"/>
        </w:rPr>
        <w:t>tinggi</w:t>
      </w:r>
      <w:proofErr w:type="spellEnd"/>
      <w:r w:rsidR="005B1DDA">
        <w:rPr>
          <w:rFonts w:ascii="Cambria" w:hAnsi="Cambria" w:cs="Times New Roman"/>
        </w:rPr>
        <w:t xml:space="preserve"> </w:t>
      </w:r>
      <w:r w:rsidR="00213308">
        <w:rPr>
          <w:rFonts w:ascii="Cambria" w:hAnsi="Cambria" w:cs="Times New Roman"/>
        </w:rPr>
        <w:fldChar w:fldCharType="begin" w:fldLock="1"/>
      </w:r>
      <w:r w:rsidR="00213308">
        <w:rPr>
          <w:rFonts w:ascii="Cambria" w:hAnsi="Cambria" w:cs="Times New Roman"/>
        </w:rPr>
        <w:instrText>ADDIN CSL_CITATION {"citationItems":[{"id":"ITEM-1","itemData":{"DOI":"10.3390/foods8060185","ISSN":"23048158","abstract":"Ginger (Zingiber officinale Roscoe) is a common and widely used spice. It is rich in various chemical constituents, including phenolic compounds, terpenes, polysaccharides, lipids, organic acids, and raw fibers. The health benefits of ginger are mainly attributed to its phenolic compounds, such as gingerols and shogaols. Accumulated investigations have demonstrated that ginger possesses multiple biological activities, including antioxidant, anti-inflammatory, antimicrobial, anticancer, neuroprotective, cardiovascular protective, respiratory protective, antiobesity, antidiabetic, antinausea, and antiemetic activities. In this review, we summarize current knowledge about the bioactive compounds and bioactivities of ginger, and the mechanisms of action are also discussed. We hope that this updated review paper will attract more attention to ginger and its further applications, including its potential to be developed into functional foods or nutraceuticals for the prevention and management of chronic diseases.","author":[{"dropping-particle":"","family":"Mao","given":"Qian Qian","non-dropping-particle":"","parse-names":false,"suffix":""},{"dropping-particle":"","family":"Xu","given":"Xiao Yu","non-dropping-particle":"","parse-names":false,"suffix":""},{"dropping-particle":"","family":"Cao","given":"Shi Yu","non-dropping-particle":"","parse-names":false,"suffix":""},{"dropping-particle":"","family":"Gan","given":"Ren You","non-dropping-particle":"","parse-names":false,"suffix":""},{"dropping-particle":"","family":"Corke","given":"Harold","non-dropping-particle":"","parse-names":false,"suffix":""},{"dropping-particle":"","family":"Beta","given":"Trust","non-dropping-particle":"","parse-names":false,"suffix":""},{"dropping-particle":"Bin","family":"Li","given":"Hua","non-dropping-particle":"","parse-names":false,"suffix":""}],"container-title":"Foods","id":"ITEM-1","issue":"6","issued":{"date-parts":[["2019"]]},"page":"1-21","title":"Bioactive compounds and bioactivities of ginger (zingiber officinale roscoe)","type":"article-journal","volume":"8"},"uris":["http://www.mendeley.com/documents/?uuid=9e928594-6624-46ae-a59f-5a84fc2a90b0"]}],"mendeley":{"formattedCitation":"(Mao et al., 2019)","plainTextFormattedCitation":"(Mao et al., 2019)","previouslyFormattedCitation":"(Mao et al., 2019)"},"properties":{"noteIndex":0},"schema":"https://github.com/citation-style-language/schema/raw/master/csl-citation.json"}</w:instrText>
      </w:r>
      <w:r w:rsidR="00213308">
        <w:rPr>
          <w:rFonts w:ascii="Cambria" w:hAnsi="Cambria" w:cs="Times New Roman"/>
        </w:rPr>
        <w:fldChar w:fldCharType="separate"/>
      </w:r>
      <w:r w:rsidR="00213308" w:rsidRPr="00213308">
        <w:rPr>
          <w:rFonts w:ascii="Cambria" w:hAnsi="Cambria" w:cs="Times New Roman"/>
          <w:noProof/>
        </w:rPr>
        <w:t>(Mao et al., 2019)</w:t>
      </w:r>
      <w:r w:rsidR="00213308">
        <w:rPr>
          <w:rFonts w:ascii="Cambria" w:hAnsi="Cambria" w:cs="Times New Roman"/>
        </w:rPr>
        <w:fldChar w:fldCharType="end"/>
      </w:r>
      <w:r w:rsidR="005B1DDA">
        <w:rPr>
          <w:rFonts w:ascii="Cambria" w:hAnsi="Cambria" w:cs="Times New Roman"/>
        </w:rPr>
        <w:t>.</w:t>
      </w:r>
    </w:p>
    <w:p w14:paraId="50C87D8D" w14:textId="7B69F3C1" w:rsidR="00196BDC" w:rsidRPr="00196BDC" w:rsidRDefault="00196BDC" w:rsidP="00196BDC">
      <w:pPr>
        <w:pStyle w:val="Pa7"/>
        <w:spacing w:line="240" w:lineRule="auto"/>
        <w:ind w:firstLine="720"/>
        <w:jc w:val="both"/>
        <w:rPr>
          <w:rFonts w:ascii="Cambria" w:hAnsi="Cambria" w:cs="Tahoma"/>
          <w:sz w:val="22"/>
          <w:szCs w:val="22"/>
        </w:rPr>
      </w:pPr>
      <w:r w:rsidRPr="00196BDC">
        <w:rPr>
          <w:rFonts w:ascii="Cambria" w:hAnsi="Cambria" w:cs="Tahoma"/>
          <w:sz w:val="22"/>
          <w:szCs w:val="22"/>
        </w:rPr>
        <w:t xml:space="preserve">Selain </w:t>
      </w:r>
      <w:proofErr w:type="spellStart"/>
      <w:r w:rsidRPr="00196BDC">
        <w:rPr>
          <w:rFonts w:ascii="Cambria" w:hAnsi="Cambria" w:cs="Tahoma"/>
          <w:sz w:val="22"/>
          <w:szCs w:val="22"/>
        </w:rPr>
        <w:t>jahe</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rempah</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jenis</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kurkumin</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seperti</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kunyit</w:t>
      </w:r>
      <w:proofErr w:type="spellEnd"/>
      <w:r w:rsidRPr="00196BDC">
        <w:rPr>
          <w:rFonts w:ascii="Cambria" w:hAnsi="Cambria" w:cs="Tahoma"/>
          <w:sz w:val="22"/>
          <w:szCs w:val="22"/>
        </w:rPr>
        <w:t xml:space="preserve"> dan </w:t>
      </w:r>
      <w:proofErr w:type="spellStart"/>
      <w:r w:rsidRPr="00196BDC">
        <w:rPr>
          <w:rFonts w:ascii="Cambria" w:hAnsi="Cambria" w:cs="Tahoma"/>
          <w:sz w:val="22"/>
          <w:szCs w:val="22"/>
        </w:rPr>
        <w:t>temulawak</w:t>
      </w:r>
      <w:proofErr w:type="spellEnd"/>
      <w:r w:rsidRPr="00196BDC">
        <w:rPr>
          <w:rFonts w:ascii="Cambria" w:hAnsi="Cambria" w:cs="Tahoma"/>
          <w:sz w:val="22"/>
          <w:szCs w:val="22"/>
        </w:rPr>
        <w:t xml:space="preserve"> juga </w:t>
      </w:r>
      <w:proofErr w:type="spellStart"/>
      <w:r w:rsidRPr="00196BDC">
        <w:rPr>
          <w:rFonts w:ascii="Cambria" w:hAnsi="Cambria" w:cs="Tahoma"/>
          <w:sz w:val="22"/>
          <w:szCs w:val="22"/>
        </w:rPr>
        <w:t>memiliki</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kandungan</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antioksidan</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Penelitian</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Zorofchian</w:t>
      </w:r>
      <w:proofErr w:type="spellEnd"/>
      <w:r w:rsidRPr="00196BDC">
        <w:rPr>
          <w:rFonts w:ascii="Cambria" w:hAnsi="Cambria" w:cs="Tahoma"/>
          <w:sz w:val="22"/>
          <w:szCs w:val="22"/>
        </w:rPr>
        <w:t xml:space="preserve"> </w:t>
      </w:r>
      <w:r w:rsidRPr="00196BDC">
        <w:rPr>
          <w:rFonts w:ascii="Cambria" w:hAnsi="Cambria" w:cs="Tahoma"/>
          <w:i/>
          <w:sz w:val="22"/>
          <w:szCs w:val="22"/>
        </w:rPr>
        <w:t>et al.,</w:t>
      </w:r>
      <w:r w:rsidRPr="00196BDC">
        <w:rPr>
          <w:rFonts w:ascii="Cambria" w:hAnsi="Cambria" w:cs="Tahoma"/>
          <w:sz w:val="22"/>
          <w:szCs w:val="22"/>
        </w:rPr>
        <w:t xml:space="preserve"> (2014) </w:t>
      </w:r>
      <w:proofErr w:type="spellStart"/>
      <w:r w:rsidRPr="00196BDC">
        <w:rPr>
          <w:rFonts w:ascii="Cambria" w:hAnsi="Cambria" w:cs="Tahoma"/>
          <w:sz w:val="22"/>
          <w:szCs w:val="22"/>
        </w:rPr>
        <w:t>menunjukkan</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bahwa</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kurkumin</w:t>
      </w:r>
      <w:proofErr w:type="spellEnd"/>
      <w:r w:rsidRPr="00196BDC">
        <w:rPr>
          <w:rFonts w:ascii="Cambria" w:hAnsi="Cambria" w:cs="Tahoma"/>
          <w:sz w:val="22"/>
          <w:szCs w:val="22"/>
        </w:rPr>
        <w:t xml:space="preserve"> </w:t>
      </w:r>
      <w:proofErr w:type="spellStart"/>
      <w:r w:rsidR="00922EA8">
        <w:rPr>
          <w:rFonts w:ascii="Cambria" w:hAnsi="Cambria" w:cs="Tahoma"/>
          <w:sz w:val="22"/>
          <w:szCs w:val="22"/>
        </w:rPr>
        <w:t>ber</w:t>
      </w:r>
      <w:r w:rsidRPr="00196BDC">
        <w:rPr>
          <w:rFonts w:ascii="Cambria" w:hAnsi="Cambria" w:cs="Tahoma"/>
          <w:sz w:val="22"/>
          <w:szCs w:val="22"/>
        </w:rPr>
        <w:t>potensi</w:t>
      </w:r>
      <w:proofErr w:type="spellEnd"/>
      <w:r w:rsidRPr="00196BDC">
        <w:rPr>
          <w:rFonts w:ascii="Cambria" w:hAnsi="Cambria" w:cs="Tahoma"/>
          <w:sz w:val="22"/>
          <w:szCs w:val="22"/>
        </w:rPr>
        <w:t xml:space="preserve"> </w:t>
      </w:r>
      <w:proofErr w:type="spellStart"/>
      <w:r w:rsidR="00922EA8">
        <w:rPr>
          <w:rFonts w:ascii="Cambria" w:hAnsi="Cambria" w:cs="Tahoma"/>
          <w:sz w:val="22"/>
          <w:szCs w:val="22"/>
        </w:rPr>
        <w:t>dalam</w:t>
      </w:r>
      <w:proofErr w:type="spellEnd"/>
      <w:r w:rsidR="00922EA8">
        <w:rPr>
          <w:rFonts w:ascii="Cambria" w:hAnsi="Cambria" w:cs="Tahoma"/>
          <w:sz w:val="22"/>
          <w:szCs w:val="22"/>
        </w:rPr>
        <w:t xml:space="preserve"> proses </w:t>
      </w:r>
      <w:proofErr w:type="spellStart"/>
      <w:r w:rsidRPr="00196BDC">
        <w:rPr>
          <w:rFonts w:ascii="Cambria" w:hAnsi="Cambria" w:cs="Tahoma"/>
          <w:sz w:val="22"/>
          <w:szCs w:val="22"/>
        </w:rPr>
        <w:t>penghambatan</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infeksi</w:t>
      </w:r>
      <w:proofErr w:type="spellEnd"/>
      <w:r w:rsidRPr="00196BDC">
        <w:rPr>
          <w:rFonts w:ascii="Cambria" w:hAnsi="Cambria" w:cs="Tahoma"/>
          <w:sz w:val="22"/>
          <w:szCs w:val="22"/>
        </w:rPr>
        <w:t xml:space="preserve"> virus  salah </w:t>
      </w:r>
      <w:proofErr w:type="spellStart"/>
      <w:r w:rsidRPr="00196BDC">
        <w:rPr>
          <w:rFonts w:ascii="Cambria" w:hAnsi="Cambria" w:cs="Tahoma"/>
          <w:sz w:val="22"/>
          <w:szCs w:val="22"/>
        </w:rPr>
        <w:t>satunya</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yaitu</w:t>
      </w:r>
      <w:proofErr w:type="spellEnd"/>
      <w:r w:rsidRPr="00196BDC">
        <w:rPr>
          <w:rFonts w:ascii="Cambria" w:hAnsi="Cambria" w:cs="Tahoma"/>
          <w:sz w:val="22"/>
          <w:szCs w:val="22"/>
        </w:rPr>
        <w:t xml:space="preserve"> virus parainfluenza </w:t>
      </w:r>
      <w:proofErr w:type="spellStart"/>
      <w:r w:rsidRPr="00196BDC">
        <w:rPr>
          <w:rFonts w:ascii="Cambria" w:hAnsi="Cambria" w:cs="Tahoma"/>
          <w:sz w:val="22"/>
          <w:szCs w:val="22"/>
        </w:rPr>
        <w:t>tipe</w:t>
      </w:r>
      <w:proofErr w:type="spellEnd"/>
      <w:r w:rsidRPr="00196BDC">
        <w:rPr>
          <w:rFonts w:ascii="Cambria" w:hAnsi="Cambria" w:cs="Tahoma"/>
          <w:sz w:val="22"/>
          <w:szCs w:val="22"/>
        </w:rPr>
        <w:t xml:space="preserve"> 3 dan virus </w:t>
      </w:r>
      <w:proofErr w:type="spellStart"/>
      <w:r w:rsidRPr="00196BDC">
        <w:rPr>
          <w:rFonts w:ascii="Cambria" w:hAnsi="Cambria" w:cs="Tahoma"/>
          <w:sz w:val="22"/>
          <w:szCs w:val="22"/>
        </w:rPr>
        <w:t>pernapasan</w:t>
      </w:r>
      <w:proofErr w:type="spellEnd"/>
      <w:r w:rsidR="008D2E65">
        <w:rPr>
          <w:rFonts w:ascii="Cambria" w:hAnsi="Cambria" w:cs="Tahoma"/>
          <w:sz w:val="22"/>
          <w:szCs w:val="22"/>
        </w:rPr>
        <w:t xml:space="preserve"> </w:t>
      </w:r>
      <w:r w:rsidRPr="00196BDC">
        <w:rPr>
          <w:rFonts w:ascii="Cambria" w:hAnsi="Cambria" w:cs="Tahoma"/>
          <w:sz w:val="22"/>
          <w:szCs w:val="22"/>
        </w:rPr>
        <w:fldChar w:fldCharType="begin" w:fldLock="1"/>
      </w:r>
      <w:r w:rsidR="00213308">
        <w:rPr>
          <w:rFonts w:ascii="Cambria" w:hAnsi="Cambria" w:cs="Tahoma"/>
          <w:sz w:val="22"/>
          <w:szCs w:val="22"/>
        </w:rPr>
        <w:instrText>ADDIN CSL_CITATION {"citationItems":[{"id":"ITEM-1","itemData":{"DOI":"10.1155/2014/186864","ISSN":"23146141","abstract":"Curcuma longa L. (Zingiberaceae family) and its polyphenolic compound curcumin have been subjected to a variety of antimicrobial investigations due to extensive traditional uses and low side effects. Antimicrobial activities for curcumin and rhizome extract of C. longa against different bacteria, viruses, fungi, and parasites have been reported. The promising results for antimicrobial activity of curcumin made it a good candidate to enhance the inhibitory effect of existing antimicrobial agents through synergism. Indeed, different investigations have been done to increase the antimicrobial activity of curcumin, including synthesis of different chemical derivatives to increase its water solubility as well ass cell up take of curcumin. This review aims to summarize previous antimicrobial studies of curcumin towards its application in the future studies as a natural antimicrobial agent. © 2014 Soheil Zorofchian Moghadamtousi et al.","author":[{"dropping-particle":"","family":"Zorofchian Moghadamtousi","given":"Soheil","non-dropping-particle":"","parse-names":false,"suffix":""},{"dropping-particle":"","family":"Abdul Kadir","given":"Habsah","non-dropping-particle":"","parse-names":false,"suffix":""},{"dropping-particle":"","family":"Hassandarvish","given":"Pouya","non-dropping-particle":"","parse-names":false,"suffix":""},{"dropping-particle":"","family":"Tajik","given":"Hassan","non-dropping-particle":"","parse-names":false,"suffix":""},{"dropping-particle":"","family":"Abubakar","given":"Sazaly","non-dropping-particle":"","parse-names":false,"suffix":""},{"dropping-particle":"","family":"Zandi","given":"Keivan","non-dropping-particle":"","parse-names":false,"suffix":""}],"container-title":"BioMed Research International","id":"ITEM-1","issued":{"date-parts":[["2014"]]},"title":"A review on antibacterial, antiviral, and antifungal activity of curcumin","type":"article-journal","volume":"2014"},"uris":["http://www.mendeley.com/documents/?uuid=365f81cb-50a4-4f6b-abd5-914dfba180a2"]}],"mendeley":{"formattedCitation":"(Zorofchian Moghadamtousi et al., 2014)","plainTextFormattedCitation":"(Zorofchian Moghadamtousi et al., 2014)","previouslyFormattedCitation":"(Zorofchian Moghadamtousi et al., 2014)"},"properties":{"noteIndex":0},"schema":"https://github.com/citation-style-language/schema/raw/master/csl-citation.json"}</w:instrText>
      </w:r>
      <w:r w:rsidRPr="00196BDC">
        <w:rPr>
          <w:rFonts w:ascii="Cambria" w:hAnsi="Cambria" w:cs="Tahoma"/>
          <w:sz w:val="22"/>
          <w:szCs w:val="22"/>
        </w:rPr>
        <w:fldChar w:fldCharType="separate"/>
      </w:r>
      <w:r w:rsidR="00213308" w:rsidRPr="00213308">
        <w:rPr>
          <w:rFonts w:ascii="Cambria" w:hAnsi="Cambria" w:cs="Tahoma"/>
          <w:noProof/>
          <w:sz w:val="22"/>
          <w:szCs w:val="22"/>
        </w:rPr>
        <w:t>(Zorofchian Moghadamtousi et al., 2014)</w:t>
      </w:r>
      <w:r w:rsidRPr="00196BDC">
        <w:rPr>
          <w:rFonts w:ascii="Cambria" w:hAnsi="Cambria" w:cs="Tahoma"/>
          <w:sz w:val="22"/>
          <w:szCs w:val="22"/>
        </w:rPr>
        <w:fldChar w:fldCharType="end"/>
      </w:r>
      <w:r w:rsidRPr="00196BDC">
        <w:rPr>
          <w:rFonts w:ascii="Cambria" w:hAnsi="Cambria" w:cs="Tahoma"/>
          <w:sz w:val="22"/>
          <w:szCs w:val="22"/>
        </w:rPr>
        <w:t xml:space="preserve">. </w:t>
      </w:r>
      <w:proofErr w:type="spellStart"/>
      <w:r w:rsidR="00922EA8">
        <w:rPr>
          <w:rFonts w:ascii="Cambria" w:hAnsi="Cambria" w:cs="Tahoma"/>
          <w:sz w:val="22"/>
          <w:szCs w:val="22"/>
        </w:rPr>
        <w:t>Potensi</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kurkumin</w:t>
      </w:r>
      <w:proofErr w:type="spellEnd"/>
      <w:r w:rsidRPr="00196BDC">
        <w:rPr>
          <w:rFonts w:ascii="Cambria" w:hAnsi="Cambria" w:cs="Tahoma"/>
          <w:sz w:val="22"/>
          <w:szCs w:val="22"/>
        </w:rPr>
        <w:t xml:space="preserve"> </w:t>
      </w:r>
      <w:proofErr w:type="spellStart"/>
      <w:r w:rsidR="00922EA8">
        <w:rPr>
          <w:rFonts w:ascii="Cambria" w:hAnsi="Cambria" w:cs="Tahoma"/>
          <w:sz w:val="22"/>
          <w:szCs w:val="22"/>
        </w:rPr>
        <w:t>tersebut</w:t>
      </w:r>
      <w:proofErr w:type="spellEnd"/>
      <w:r w:rsidR="00922EA8">
        <w:rPr>
          <w:rFonts w:ascii="Cambria" w:hAnsi="Cambria" w:cs="Tahoma"/>
          <w:sz w:val="22"/>
          <w:szCs w:val="22"/>
        </w:rPr>
        <w:t xml:space="preserve"> </w:t>
      </w:r>
      <w:proofErr w:type="spellStart"/>
      <w:r w:rsidRPr="00196BDC">
        <w:rPr>
          <w:rFonts w:ascii="Cambria" w:hAnsi="Cambria" w:cs="Tahoma"/>
          <w:sz w:val="22"/>
          <w:szCs w:val="22"/>
        </w:rPr>
        <w:t>berasal</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dari</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kemampuan</w:t>
      </w:r>
      <w:proofErr w:type="spellEnd"/>
      <w:r w:rsidR="00922EA8">
        <w:rPr>
          <w:rFonts w:ascii="Cambria" w:hAnsi="Cambria" w:cs="Tahoma"/>
          <w:sz w:val="22"/>
          <w:szCs w:val="22"/>
        </w:rPr>
        <w:t xml:space="preserve"> </w:t>
      </w:r>
      <w:proofErr w:type="spellStart"/>
      <w:r w:rsidR="00922EA8">
        <w:rPr>
          <w:rFonts w:ascii="Cambria" w:hAnsi="Cambria" w:cs="Tahoma"/>
          <w:sz w:val="22"/>
          <w:szCs w:val="22"/>
        </w:rPr>
        <w:t>kurkumin</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untuk</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berinteraksi</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dengan</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berbagai</w:t>
      </w:r>
      <w:proofErr w:type="spellEnd"/>
      <w:r w:rsidRPr="00196BDC">
        <w:rPr>
          <w:rFonts w:ascii="Cambria" w:hAnsi="Cambria" w:cs="Tahoma"/>
          <w:sz w:val="22"/>
          <w:szCs w:val="22"/>
        </w:rPr>
        <w:t xml:space="preserve"> target </w:t>
      </w:r>
      <w:proofErr w:type="spellStart"/>
      <w:r w:rsidRPr="00196BDC">
        <w:rPr>
          <w:rFonts w:ascii="Cambria" w:hAnsi="Cambria" w:cs="Tahoma"/>
          <w:sz w:val="22"/>
          <w:szCs w:val="22"/>
        </w:rPr>
        <w:t>molekuler</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sehingga</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memicu</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jalur</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pensinyalan</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seluler</w:t>
      </w:r>
      <w:proofErr w:type="spellEnd"/>
      <w:r w:rsidRPr="00196BDC">
        <w:rPr>
          <w:rFonts w:ascii="Cambria" w:hAnsi="Cambria" w:cs="Tahoma"/>
          <w:sz w:val="22"/>
          <w:szCs w:val="22"/>
        </w:rPr>
        <w:t xml:space="preserve"> </w:t>
      </w:r>
      <w:proofErr w:type="spellStart"/>
      <w:r w:rsidRPr="00196BDC">
        <w:rPr>
          <w:rFonts w:ascii="Cambria" w:hAnsi="Cambria" w:cs="Tahoma"/>
          <w:sz w:val="22"/>
          <w:szCs w:val="22"/>
        </w:rPr>
        <w:t>seperti</w:t>
      </w:r>
      <w:proofErr w:type="spellEnd"/>
      <w:r w:rsidRPr="00196BDC">
        <w:rPr>
          <w:rFonts w:ascii="Cambria" w:hAnsi="Cambria" w:cs="Tahoma"/>
          <w:sz w:val="22"/>
          <w:szCs w:val="22"/>
        </w:rPr>
        <w:t xml:space="preserve"> apoptosis dan </w:t>
      </w:r>
      <w:proofErr w:type="spellStart"/>
      <w:r w:rsidRPr="00196BDC">
        <w:rPr>
          <w:rFonts w:ascii="Cambria" w:hAnsi="Cambria" w:cs="Tahoma"/>
          <w:sz w:val="22"/>
          <w:szCs w:val="22"/>
        </w:rPr>
        <w:t>peradangan</w:t>
      </w:r>
      <w:proofErr w:type="spellEnd"/>
      <w:r w:rsidRPr="00196BDC">
        <w:rPr>
          <w:rFonts w:ascii="Cambria" w:hAnsi="Cambria" w:cs="Tahoma"/>
          <w:sz w:val="22"/>
          <w:szCs w:val="22"/>
        </w:rPr>
        <w:t>.</w:t>
      </w:r>
    </w:p>
    <w:p w14:paraId="36856ABC" w14:textId="20CE28AA" w:rsidR="00196BDC" w:rsidRPr="00196BDC" w:rsidRDefault="00922EA8" w:rsidP="00196BDC">
      <w:pPr>
        <w:spacing w:after="0" w:line="240" w:lineRule="auto"/>
        <w:ind w:firstLine="720"/>
        <w:jc w:val="both"/>
        <w:rPr>
          <w:rFonts w:ascii="Cambria" w:hAnsi="Cambria" w:cs="Tahoma"/>
        </w:rPr>
      </w:pPr>
      <w:proofErr w:type="spellStart"/>
      <w:r>
        <w:rPr>
          <w:rFonts w:ascii="Cambria" w:hAnsi="Cambria" w:cs="Tahoma"/>
        </w:rPr>
        <w:t>K</w:t>
      </w:r>
      <w:r w:rsidR="00196BDC" w:rsidRPr="00196BDC">
        <w:rPr>
          <w:rFonts w:ascii="Cambria" w:hAnsi="Cambria" w:cs="Tahoma"/>
        </w:rPr>
        <w:t>urkumin</w:t>
      </w:r>
      <w:proofErr w:type="spellEnd"/>
      <w:r w:rsidR="00196BDC" w:rsidRPr="00196BDC">
        <w:rPr>
          <w:rFonts w:ascii="Cambria" w:hAnsi="Cambria" w:cs="Tahoma"/>
        </w:rPr>
        <w:t xml:space="preserve"> </w:t>
      </w:r>
      <w:r>
        <w:rPr>
          <w:rFonts w:ascii="Cambria" w:hAnsi="Cambria" w:cs="Tahoma"/>
        </w:rPr>
        <w:t xml:space="preserve">juga </w:t>
      </w:r>
      <w:proofErr w:type="spellStart"/>
      <w:r>
        <w:rPr>
          <w:rFonts w:ascii="Cambria" w:hAnsi="Cambria" w:cs="Tahoma"/>
        </w:rPr>
        <w:t>memiliki</w:t>
      </w:r>
      <w:proofErr w:type="spellEnd"/>
      <w:r>
        <w:rPr>
          <w:rFonts w:ascii="Cambria" w:hAnsi="Cambria" w:cs="Tahoma"/>
        </w:rPr>
        <w:t xml:space="preserve"> </w:t>
      </w:r>
      <w:proofErr w:type="spellStart"/>
      <w:r>
        <w:rPr>
          <w:rFonts w:ascii="Cambria" w:hAnsi="Cambria" w:cs="Tahoma"/>
        </w:rPr>
        <w:t>potensi</w:t>
      </w:r>
      <w:proofErr w:type="spellEnd"/>
      <w:r>
        <w:rPr>
          <w:rFonts w:ascii="Cambria" w:hAnsi="Cambria" w:cs="Tahoma"/>
        </w:rPr>
        <w:t xml:space="preserve"> </w:t>
      </w:r>
      <w:proofErr w:type="spellStart"/>
      <w:r>
        <w:rPr>
          <w:rFonts w:ascii="Cambria" w:hAnsi="Cambria" w:cs="Tahoma"/>
        </w:rPr>
        <w:t>dalam</w:t>
      </w:r>
      <w:proofErr w:type="spellEnd"/>
      <w:r w:rsidR="00196BDC" w:rsidRPr="00196BDC">
        <w:rPr>
          <w:rFonts w:ascii="Cambria" w:hAnsi="Cambria" w:cs="Tahoma"/>
        </w:rPr>
        <w:t xml:space="preserve"> </w:t>
      </w:r>
      <w:proofErr w:type="spellStart"/>
      <w:r w:rsidR="00196BDC" w:rsidRPr="00196BDC">
        <w:rPr>
          <w:rFonts w:ascii="Cambria" w:hAnsi="Cambria" w:cs="Tahoma"/>
        </w:rPr>
        <w:t>memodulasi</w:t>
      </w:r>
      <w:proofErr w:type="spellEnd"/>
      <w:r w:rsidR="00196BDC" w:rsidRPr="00196BDC">
        <w:rPr>
          <w:rFonts w:ascii="Cambria" w:hAnsi="Cambria" w:cs="Tahoma"/>
        </w:rPr>
        <w:t xml:space="preserve"> </w:t>
      </w:r>
      <w:proofErr w:type="spellStart"/>
      <w:r w:rsidR="00196BDC" w:rsidRPr="00196BDC">
        <w:rPr>
          <w:rFonts w:ascii="Cambria" w:hAnsi="Cambria" w:cs="Tahoma"/>
        </w:rPr>
        <w:t>berbagai</w:t>
      </w:r>
      <w:proofErr w:type="spellEnd"/>
      <w:r w:rsidR="00196BDC" w:rsidRPr="00196BDC">
        <w:rPr>
          <w:rFonts w:ascii="Cambria" w:hAnsi="Cambria" w:cs="Tahoma"/>
        </w:rPr>
        <w:t xml:space="preserve"> target </w:t>
      </w:r>
      <w:proofErr w:type="spellStart"/>
      <w:r w:rsidR="00196BDC" w:rsidRPr="00196BDC">
        <w:rPr>
          <w:rFonts w:ascii="Cambria" w:hAnsi="Cambria" w:cs="Tahoma"/>
        </w:rPr>
        <w:t>molekuler</w:t>
      </w:r>
      <w:proofErr w:type="spellEnd"/>
      <w:r>
        <w:rPr>
          <w:rFonts w:ascii="Cambria" w:hAnsi="Cambria" w:cs="Tahoma"/>
        </w:rPr>
        <w:t xml:space="preserve"> </w:t>
      </w:r>
      <w:proofErr w:type="spellStart"/>
      <w:r>
        <w:rPr>
          <w:rFonts w:ascii="Cambria" w:hAnsi="Cambria" w:cs="Tahoma"/>
        </w:rPr>
        <w:t>sehingga</w:t>
      </w:r>
      <w:proofErr w:type="spellEnd"/>
      <w:r>
        <w:rPr>
          <w:rFonts w:ascii="Cambria" w:hAnsi="Cambria" w:cs="Tahoma"/>
        </w:rPr>
        <w:t xml:space="preserve"> </w:t>
      </w:r>
      <w:proofErr w:type="spellStart"/>
      <w:r>
        <w:rPr>
          <w:rFonts w:ascii="Cambria" w:hAnsi="Cambria" w:cs="Tahoma"/>
        </w:rPr>
        <w:t>kurkumin</w:t>
      </w:r>
      <w:proofErr w:type="spellEnd"/>
      <w:r>
        <w:rPr>
          <w:rFonts w:ascii="Cambria" w:hAnsi="Cambria" w:cs="Tahoma"/>
        </w:rPr>
        <w:t xml:space="preserve"> </w:t>
      </w:r>
      <w:proofErr w:type="spellStart"/>
      <w:r>
        <w:rPr>
          <w:rFonts w:ascii="Cambria" w:hAnsi="Cambria" w:cs="Tahoma"/>
        </w:rPr>
        <w:t>dapat</w:t>
      </w:r>
      <w:proofErr w:type="spellEnd"/>
      <w:r w:rsidR="00196BDC" w:rsidRPr="00196BDC">
        <w:rPr>
          <w:rFonts w:ascii="Cambria" w:hAnsi="Cambria" w:cs="Tahoma"/>
        </w:rPr>
        <w:t xml:space="preserve"> </w:t>
      </w:r>
      <w:proofErr w:type="spellStart"/>
      <w:r w:rsidR="00196BDC" w:rsidRPr="00196BDC">
        <w:rPr>
          <w:rFonts w:ascii="Cambria" w:hAnsi="Cambria" w:cs="Tahoma"/>
        </w:rPr>
        <w:t>menjadi</w:t>
      </w:r>
      <w:proofErr w:type="spellEnd"/>
      <w:r w:rsidR="00196BDC" w:rsidRPr="00196BDC">
        <w:rPr>
          <w:rFonts w:ascii="Cambria" w:hAnsi="Cambria" w:cs="Tahoma"/>
        </w:rPr>
        <w:t xml:space="preserve"> </w:t>
      </w:r>
      <w:proofErr w:type="spellStart"/>
      <w:r w:rsidR="00196BDC" w:rsidRPr="00196BDC">
        <w:rPr>
          <w:rFonts w:ascii="Cambria" w:hAnsi="Cambria" w:cs="Tahoma"/>
        </w:rPr>
        <w:t>kandidat</w:t>
      </w:r>
      <w:proofErr w:type="spellEnd"/>
      <w:r w:rsidR="00196BDC" w:rsidRPr="00196BDC">
        <w:rPr>
          <w:rFonts w:ascii="Cambria" w:hAnsi="Cambria" w:cs="Tahoma"/>
        </w:rPr>
        <w:t xml:space="preserve"> yang </w:t>
      </w:r>
      <w:proofErr w:type="spellStart"/>
      <w:r w:rsidR="00196BDC" w:rsidRPr="00196BDC">
        <w:rPr>
          <w:rFonts w:ascii="Cambria" w:hAnsi="Cambria" w:cs="Tahoma"/>
        </w:rPr>
        <w:t>cocok</w:t>
      </w:r>
      <w:proofErr w:type="spellEnd"/>
      <w:r w:rsidR="00196BDC" w:rsidRPr="00196BDC">
        <w:rPr>
          <w:rFonts w:ascii="Cambria" w:hAnsi="Cambria" w:cs="Tahoma"/>
        </w:rPr>
        <w:t xml:space="preserve"> </w:t>
      </w:r>
      <w:proofErr w:type="spellStart"/>
      <w:r w:rsidR="00196BDC" w:rsidRPr="00196BDC">
        <w:rPr>
          <w:rFonts w:ascii="Cambria" w:hAnsi="Cambria" w:cs="Tahoma"/>
        </w:rPr>
        <w:t>untuk</w:t>
      </w:r>
      <w:proofErr w:type="spellEnd"/>
      <w:r w:rsidR="00196BDC" w:rsidRPr="00196BDC">
        <w:rPr>
          <w:rFonts w:ascii="Cambria" w:hAnsi="Cambria" w:cs="Tahoma"/>
        </w:rPr>
        <w:t xml:space="preserve"> </w:t>
      </w:r>
      <w:proofErr w:type="spellStart"/>
      <w:r w:rsidR="00196BDC" w:rsidRPr="00196BDC">
        <w:rPr>
          <w:rFonts w:ascii="Cambria" w:hAnsi="Cambria" w:cs="Tahoma"/>
        </w:rPr>
        <w:t>pengelolaan</w:t>
      </w:r>
      <w:proofErr w:type="spellEnd"/>
      <w:r w:rsidR="00196BDC" w:rsidRPr="00196BDC">
        <w:rPr>
          <w:rFonts w:ascii="Cambria" w:hAnsi="Cambria" w:cs="Tahoma"/>
        </w:rPr>
        <w:t xml:space="preserve"> </w:t>
      </w:r>
      <w:proofErr w:type="spellStart"/>
      <w:r w:rsidR="00196BDC" w:rsidRPr="00196BDC">
        <w:rPr>
          <w:rFonts w:ascii="Cambria" w:hAnsi="Cambria" w:cs="Tahoma"/>
        </w:rPr>
        <w:t>infeksi</w:t>
      </w:r>
      <w:proofErr w:type="spellEnd"/>
      <w:r w:rsidR="00196BDC" w:rsidRPr="00196BDC">
        <w:rPr>
          <w:rFonts w:ascii="Cambria" w:hAnsi="Cambria" w:cs="Tahoma"/>
        </w:rPr>
        <w:t xml:space="preserve"> </w:t>
      </w:r>
      <w:r w:rsidR="00473A60">
        <w:rPr>
          <w:rFonts w:ascii="Cambria" w:hAnsi="Cambria" w:cs="Tahoma"/>
        </w:rPr>
        <w:t>COVID-19</w:t>
      </w:r>
      <w:r w:rsidR="00196BDC" w:rsidRPr="00196BDC">
        <w:rPr>
          <w:rFonts w:ascii="Cambria" w:hAnsi="Cambria" w:cs="Tahoma"/>
        </w:rPr>
        <w:t xml:space="preserve">. </w:t>
      </w:r>
      <w:proofErr w:type="spellStart"/>
      <w:r>
        <w:rPr>
          <w:rFonts w:ascii="Cambria" w:hAnsi="Cambria" w:cs="Tahoma"/>
        </w:rPr>
        <w:t>Kurkumin</w:t>
      </w:r>
      <w:proofErr w:type="spellEnd"/>
      <w:r>
        <w:rPr>
          <w:rFonts w:ascii="Cambria" w:hAnsi="Cambria" w:cs="Tahoma"/>
        </w:rPr>
        <w:t xml:space="preserve"> </w:t>
      </w:r>
      <w:proofErr w:type="spellStart"/>
      <w:r w:rsidR="00196BDC" w:rsidRPr="00196BDC">
        <w:rPr>
          <w:rFonts w:ascii="Cambria" w:hAnsi="Cambria" w:cs="Tahoma"/>
        </w:rPr>
        <w:t>memodulasi</w:t>
      </w:r>
      <w:proofErr w:type="spellEnd"/>
      <w:r w:rsidR="00196BDC" w:rsidRPr="00196BDC">
        <w:rPr>
          <w:rFonts w:ascii="Cambria" w:hAnsi="Cambria" w:cs="Tahoma"/>
        </w:rPr>
        <w:t xml:space="preserve"> </w:t>
      </w:r>
      <w:proofErr w:type="spellStart"/>
      <w:r w:rsidR="00196BDC" w:rsidRPr="00196BDC">
        <w:rPr>
          <w:rFonts w:ascii="Cambria" w:hAnsi="Cambria" w:cs="Tahoma"/>
        </w:rPr>
        <w:t>berbagai</w:t>
      </w:r>
      <w:proofErr w:type="spellEnd"/>
      <w:r w:rsidR="00196BDC" w:rsidRPr="00196BDC">
        <w:rPr>
          <w:rFonts w:ascii="Cambria" w:hAnsi="Cambria" w:cs="Tahoma"/>
        </w:rPr>
        <w:t xml:space="preserve"> target </w:t>
      </w:r>
      <w:proofErr w:type="spellStart"/>
      <w:r w:rsidR="00196BDC" w:rsidRPr="00196BDC">
        <w:rPr>
          <w:rFonts w:ascii="Cambria" w:hAnsi="Cambria" w:cs="Tahoma"/>
        </w:rPr>
        <w:t>molekuler</w:t>
      </w:r>
      <w:proofErr w:type="spellEnd"/>
      <w:r w:rsidR="00196BDC" w:rsidRPr="00196BDC">
        <w:rPr>
          <w:rFonts w:ascii="Cambria" w:hAnsi="Cambria" w:cs="Tahoma"/>
        </w:rPr>
        <w:t xml:space="preserve"> yang </w:t>
      </w:r>
      <w:proofErr w:type="spellStart"/>
      <w:r w:rsidR="00196BDC" w:rsidRPr="00196BDC">
        <w:rPr>
          <w:rFonts w:ascii="Cambria" w:hAnsi="Cambria" w:cs="Tahoma"/>
        </w:rPr>
        <w:t>berkontribusi</w:t>
      </w:r>
      <w:proofErr w:type="spellEnd"/>
      <w:r w:rsidR="00196BDC" w:rsidRPr="00196BDC">
        <w:rPr>
          <w:rFonts w:ascii="Cambria" w:hAnsi="Cambria" w:cs="Tahoma"/>
        </w:rPr>
        <w:t xml:space="preserve"> pada </w:t>
      </w:r>
      <w:proofErr w:type="spellStart"/>
      <w:r w:rsidR="00196BDC" w:rsidRPr="00196BDC">
        <w:rPr>
          <w:rFonts w:ascii="Cambria" w:hAnsi="Cambria" w:cs="Tahoma"/>
        </w:rPr>
        <w:t>perlekatan</w:t>
      </w:r>
      <w:proofErr w:type="spellEnd"/>
      <w:r w:rsidR="00196BDC" w:rsidRPr="00196BDC">
        <w:rPr>
          <w:rFonts w:ascii="Cambria" w:hAnsi="Cambria" w:cs="Tahoma"/>
        </w:rPr>
        <w:t xml:space="preserve"> dan </w:t>
      </w:r>
      <w:proofErr w:type="spellStart"/>
      <w:r w:rsidR="00196BDC" w:rsidRPr="00196BDC">
        <w:rPr>
          <w:rFonts w:ascii="Cambria" w:hAnsi="Cambria" w:cs="Tahoma"/>
        </w:rPr>
        <w:t>internalisasi</w:t>
      </w:r>
      <w:proofErr w:type="spellEnd"/>
      <w:r w:rsidR="00196BDC" w:rsidRPr="00196BDC">
        <w:rPr>
          <w:rFonts w:ascii="Cambria" w:hAnsi="Cambria" w:cs="Tahoma"/>
        </w:rPr>
        <w:t xml:space="preserve"> </w:t>
      </w:r>
      <w:r w:rsidR="008D2E65" w:rsidRPr="00196BDC">
        <w:rPr>
          <w:rFonts w:ascii="Cambria" w:hAnsi="Cambria" w:cs="Tahoma"/>
        </w:rPr>
        <w:t xml:space="preserve">COVID-19 </w:t>
      </w:r>
      <w:r w:rsidR="008D2E65">
        <w:rPr>
          <w:rFonts w:ascii="Cambria" w:hAnsi="Cambria" w:cs="Tahoma"/>
        </w:rPr>
        <w:t xml:space="preserve">pada </w:t>
      </w:r>
      <w:proofErr w:type="spellStart"/>
      <w:r w:rsidR="008D2E65">
        <w:rPr>
          <w:rFonts w:ascii="Cambria" w:hAnsi="Cambria" w:cs="Tahoma"/>
        </w:rPr>
        <w:t>berbagai</w:t>
      </w:r>
      <w:proofErr w:type="spellEnd"/>
      <w:r w:rsidR="00196BDC" w:rsidRPr="00196BDC">
        <w:rPr>
          <w:rFonts w:ascii="Cambria" w:hAnsi="Cambria" w:cs="Tahoma"/>
        </w:rPr>
        <w:t xml:space="preserve"> organ, </w:t>
      </w:r>
      <w:r w:rsidR="008D2E65">
        <w:rPr>
          <w:rFonts w:ascii="Cambria" w:hAnsi="Cambria" w:cs="Tahoma"/>
        </w:rPr>
        <w:t xml:space="preserve">salah </w:t>
      </w:r>
      <w:proofErr w:type="spellStart"/>
      <w:r w:rsidR="008D2E65">
        <w:rPr>
          <w:rFonts w:ascii="Cambria" w:hAnsi="Cambria" w:cs="Tahoma"/>
        </w:rPr>
        <w:t>satunya</w:t>
      </w:r>
      <w:proofErr w:type="spellEnd"/>
      <w:r w:rsidR="008D2E65">
        <w:rPr>
          <w:rFonts w:ascii="Cambria" w:hAnsi="Cambria" w:cs="Tahoma"/>
        </w:rPr>
        <w:t xml:space="preserve"> organ</w:t>
      </w:r>
      <w:r w:rsidR="00196BDC" w:rsidRPr="00196BDC">
        <w:rPr>
          <w:rFonts w:ascii="Cambria" w:hAnsi="Cambria" w:cs="Tahoma"/>
        </w:rPr>
        <w:t xml:space="preserve"> </w:t>
      </w:r>
      <w:proofErr w:type="spellStart"/>
      <w:r w:rsidR="00196BDC" w:rsidRPr="00196BDC">
        <w:rPr>
          <w:rFonts w:ascii="Cambria" w:hAnsi="Cambria" w:cs="Tahoma"/>
        </w:rPr>
        <w:t>hati</w:t>
      </w:r>
      <w:proofErr w:type="spellEnd"/>
      <w:r w:rsidR="00196BDC" w:rsidRPr="00196BDC">
        <w:rPr>
          <w:rFonts w:ascii="Cambria" w:hAnsi="Cambria" w:cs="Tahoma"/>
        </w:rPr>
        <w:t xml:space="preserve">, </w:t>
      </w:r>
      <w:proofErr w:type="spellStart"/>
      <w:r w:rsidR="008D2E65">
        <w:rPr>
          <w:rFonts w:ascii="Cambria" w:hAnsi="Cambria" w:cs="Tahoma"/>
        </w:rPr>
        <w:t>ginjal</w:t>
      </w:r>
      <w:proofErr w:type="spellEnd"/>
      <w:r w:rsidR="008D2E65">
        <w:rPr>
          <w:rFonts w:ascii="Cambria" w:hAnsi="Cambria" w:cs="Tahoma"/>
        </w:rPr>
        <w:t xml:space="preserve"> dan</w:t>
      </w:r>
      <w:r w:rsidR="00196BDC" w:rsidRPr="00196BDC">
        <w:rPr>
          <w:rFonts w:ascii="Cambria" w:hAnsi="Cambria" w:cs="Tahoma"/>
        </w:rPr>
        <w:t xml:space="preserve"> </w:t>
      </w:r>
      <w:proofErr w:type="spellStart"/>
      <w:r w:rsidR="00196BDC" w:rsidRPr="00196BDC">
        <w:rPr>
          <w:rFonts w:ascii="Cambria" w:hAnsi="Cambria" w:cs="Tahoma"/>
        </w:rPr>
        <w:t>kardiovaskular</w:t>
      </w:r>
      <w:proofErr w:type="spellEnd"/>
      <w:r w:rsidR="00196BDC" w:rsidRPr="00196BDC">
        <w:rPr>
          <w:rFonts w:ascii="Cambria" w:hAnsi="Cambria" w:cs="Tahoma"/>
        </w:rPr>
        <w:t xml:space="preserve">. </w:t>
      </w:r>
      <w:proofErr w:type="spellStart"/>
      <w:r w:rsidR="00196BDC" w:rsidRPr="00196BDC">
        <w:rPr>
          <w:rFonts w:ascii="Cambria" w:hAnsi="Cambria" w:cs="Tahoma"/>
        </w:rPr>
        <w:t>Kurkumin</w:t>
      </w:r>
      <w:proofErr w:type="spellEnd"/>
      <w:r w:rsidR="00196BDC" w:rsidRPr="00196BDC">
        <w:rPr>
          <w:rFonts w:ascii="Cambria" w:hAnsi="Cambria" w:cs="Tahoma"/>
        </w:rPr>
        <w:t xml:space="preserve"> juga </w:t>
      </w:r>
      <w:proofErr w:type="spellStart"/>
      <w:r w:rsidR="00473A60">
        <w:rPr>
          <w:rFonts w:ascii="Cambria" w:hAnsi="Cambria" w:cs="Tahoma"/>
        </w:rPr>
        <w:t>berpotensi</w:t>
      </w:r>
      <w:proofErr w:type="spellEnd"/>
      <w:r w:rsidR="008D2E65">
        <w:rPr>
          <w:rFonts w:ascii="Cambria" w:hAnsi="Cambria" w:cs="Tahoma"/>
        </w:rPr>
        <w:t xml:space="preserve"> </w:t>
      </w:r>
      <w:proofErr w:type="spellStart"/>
      <w:r w:rsidR="008D2E65">
        <w:rPr>
          <w:rFonts w:ascii="Cambria" w:hAnsi="Cambria" w:cs="Tahoma"/>
        </w:rPr>
        <w:t>dalam</w:t>
      </w:r>
      <w:proofErr w:type="spellEnd"/>
      <w:r w:rsidR="008D2E65">
        <w:rPr>
          <w:rFonts w:ascii="Cambria" w:hAnsi="Cambria" w:cs="Tahoma"/>
        </w:rPr>
        <w:t xml:space="preserve"> </w:t>
      </w:r>
      <w:proofErr w:type="spellStart"/>
      <w:r w:rsidR="00196BDC" w:rsidRPr="00196BDC">
        <w:rPr>
          <w:rFonts w:ascii="Cambria" w:hAnsi="Cambria" w:cs="Tahoma"/>
        </w:rPr>
        <w:t>memodulasi</w:t>
      </w:r>
      <w:proofErr w:type="spellEnd"/>
      <w:r w:rsidR="00196BDC" w:rsidRPr="00196BDC">
        <w:rPr>
          <w:rFonts w:ascii="Cambria" w:hAnsi="Cambria" w:cs="Tahoma"/>
        </w:rPr>
        <w:t xml:space="preserve"> </w:t>
      </w:r>
      <w:proofErr w:type="spellStart"/>
      <w:r w:rsidR="00196BDC" w:rsidRPr="00196BDC">
        <w:rPr>
          <w:rFonts w:ascii="Cambria" w:hAnsi="Cambria" w:cs="Tahoma"/>
        </w:rPr>
        <w:t>jalur</w:t>
      </w:r>
      <w:proofErr w:type="spellEnd"/>
      <w:r w:rsidR="00196BDC" w:rsidRPr="00196BDC">
        <w:rPr>
          <w:rFonts w:ascii="Cambria" w:hAnsi="Cambria" w:cs="Tahoma"/>
        </w:rPr>
        <w:t xml:space="preserve"> </w:t>
      </w:r>
      <w:proofErr w:type="spellStart"/>
      <w:r w:rsidR="00196BDC" w:rsidRPr="00196BDC">
        <w:rPr>
          <w:rFonts w:ascii="Cambria" w:hAnsi="Cambria" w:cs="Tahoma"/>
        </w:rPr>
        <w:t>pensinyalan</w:t>
      </w:r>
      <w:proofErr w:type="spellEnd"/>
      <w:r w:rsidR="00196BDC" w:rsidRPr="00196BDC">
        <w:rPr>
          <w:rFonts w:ascii="Cambria" w:hAnsi="Cambria" w:cs="Tahoma"/>
        </w:rPr>
        <w:t xml:space="preserve"> </w:t>
      </w:r>
      <w:proofErr w:type="spellStart"/>
      <w:r w:rsidR="00196BDC" w:rsidRPr="00196BDC">
        <w:rPr>
          <w:rFonts w:ascii="Cambria" w:hAnsi="Cambria" w:cs="Tahoma"/>
        </w:rPr>
        <w:t>seluler</w:t>
      </w:r>
      <w:proofErr w:type="spellEnd"/>
      <w:r w:rsidR="00196BDC" w:rsidRPr="00196BDC">
        <w:rPr>
          <w:rFonts w:ascii="Cambria" w:hAnsi="Cambria" w:cs="Tahoma"/>
        </w:rPr>
        <w:t xml:space="preserve"> </w:t>
      </w:r>
      <w:proofErr w:type="spellStart"/>
      <w:r w:rsidR="00196BDC" w:rsidRPr="00196BDC">
        <w:rPr>
          <w:rFonts w:ascii="Cambria" w:hAnsi="Cambria" w:cs="Tahoma"/>
        </w:rPr>
        <w:t>seperti</w:t>
      </w:r>
      <w:proofErr w:type="spellEnd"/>
      <w:r w:rsidR="00196BDC" w:rsidRPr="00196BDC">
        <w:rPr>
          <w:rFonts w:ascii="Cambria" w:hAnsi="Cambria" w:cs="Tahoma"/>
        </w:rPr>
        <w:t xml:space="preserve"> </w:t>
      </w:r>
      <w:proofErr w:type="spellStart"/>
      <w:r w:rsidR="00196BDC" w:rsidRPr="00196BDC">
        <w:rPr>
          <w:rFonts w:ascii="Cambria" w:hAnsi="Cambria" w:cs="Tahoma"/>
        </w:rPr>
        <w:t>peradangan</w:t>
      </w:r>
      <w:proofErr w:type="spellEnd"/>
      <w:r w:rsidR="00196BDC" w:rsidRPr="00196BDC">
        <w:rPr>
          <w:rFonts w:ascii="Cambria" w:hAnsi="Cambria" w:cs="Tahoma"/>
        </w:rPr>
        <w:t xml:space="preserve">, apoptosis, dan </w:t>
      </w:r>
      <w:proofErr w:type="spellStart"/>
      <w:r w:rsidR="00196BDC" w:rsidRPr="00196BDC">
        <w:rPr>
          <w:rFonts w:ascii="Cambria" w:hAnsi="Cambria" w:cs="Tahoma"/>
        </w:rPr>
        <w:t>replikasi</w:t>
      </w:r>
      <w:proofErr w:type="spellEnd"/>
      <w:r w:rsidR="00196BDC" w:rsidRPr="00196BDC">
        <w:rPr>
          <w:rFonts w:ascii="Cambria" w:hAnsi="Cambria" w:cs="Tahoma"/>
        </w:rPr>
        <w:t xml:space="preserve"> RNA. </w:t>
      </w:r>
      <w:proofErr w:type="spellStart"/>
      <w:r w:rsidR="00473A60">
        <w:rPr>
          <w:rFonts w:ascii="Cambria" w:hAnsi="Cambria" w:cs="Tahoma"/>
        </w:rPr>
        <w:t>K</w:t>
      </w:r>
      <w:r w:rsidR="00196BDC" w:rsidRPr="00196BDC">
        <w:rPr>
          <w:rFonts w:ascii="Cambria" w:hAnsi="Cambria" w:cs="Tahoma"/>
        </w:rPr>
        <w:t>ur</w:t>
      </w:r>
      <w:r w:rsidR="00473A60">
        <w:rPr>
          <w:rFonts w:ascii="Cambria" w:hAnsi="Cambria" w:cs="Tahoma"/>
        </w:rPr>
        <w:t>k</w:t>
      </w:r>
      <w:r w:rsidR="00196BDC" w:rsidRPr="00196BDC">
        <w:rPr>
          <w:rFonts w:ascii="Cambria" w:hAnsi="Cambria" w:cs="Tahoma"/>
        </w:rPr>
        <w:t>umin</w:t>
      </w:r>
      <w:proofErr w:type="spellEnd"/>
      <w:r w:rsidR="00196BDC" w:rsidRPr="00196BDC">
        <w:rPr>
          <w:rFonts w:ascii="Cambria" w:hAnsi="Cambria" w:cs="Tahoma"/>
        </w:rPr>
        <w:t xml:space="preserve"> juga </w:t>
      </w:r>
      <w:proofErr w:type="spellStart"/>
      <w:r w:rsidR="00196BDC" w:rsidRPr="00196BDC">
        <w:rPr>
          <w:rFonts w:ascii="Cambria" w:hAnsi="Cambria" w:cs="Tahoma"/>
        </w:rPr>
        <w:t>dapat</w:t>
      </w:r>
      <w:proofErr w:type="spellEnd"/>
      <w:r w:rsidR="00196BDC" w:rsidRPr="00196BDC">
        <w:rPr>
          <w:rFonts w:ascii="Cambria" w:hAnsi="Cambria" w:cs="Tahoma"/>
        </w:rPr>
        <w:t xml:space="preserve"> </w:t>
      </w:r>
      <w:proofErr w:type="spellStart"/>
      <w:r w:rsidR="00196BDC" w:rsidRPr="00196BDC">
        <w:rPr>
          <w:rFonts w:ascii="Cambria" w:hAnsi="Cambria" w:cs="Tahoma"/>
        </w:rPr>
        <w:t>menekan</w:t>
      </w:r>
      <w:proofErr w:type="spellEnd"/>
      <w:r w:rsidR="00196BDC" w:rsidRPr="00196BDC">
        <w:rPr>
          <w:rFonts w:ascii="Cambria" w:hAnsi="Cambria" w:cs="Tahoma"/>
        </w:rPr>
        <w:t xml:space="preserve"> edema </w:t>
      </w:r>
      <w:proofErr w:type="spellStart"/>
      <w:r w:rsidR="00196BDC" w:rsidRPr="00196BDC">
        <w:rPr>
          <w:rFonts w:ascii="Cambria" w:hAnsi="Cambria" w:cs="Tahoma"/>
        </w:rPr>
        <w:t>paru</w:t>
      </w:r>
      <w:proofErr w:type="spellEnd"/>
      <w:r w:rsidR="00196BDC" w:rsidRPr="00196BDC">
        <w:rPr>
          <w:rFonts w:ascii="Cambria" w:hAnsi="Cambria" w:cs="Tahoma"/>
        </w:rPr>
        <w:t xml:space="preserve"> dan </w:t>
      </w:r>
      <w:proofErr w:type="spellStart"/>
      <w:r w:rsidR="00196BDC" w:rsidRPr="00196BDC">
        <w:rPr>
          <w:rFonts w:ascii="Cambria" w:hAnsi="Cambria" w:cs="Tahoma"/>
        </w:rPr>
        <w:t>jalur</w:t>
      </w:r>
      <w:proofErr w:type="spellEnd"/>
      <w:r w:rsidR="00196BDC" w:rsidRPr="00196BDC">
        <w:rPr>
          <w:rFonts w:ascii="Cambria" w:hAnsi="Cambria" w:cs="Tahoma"/>
        </w:rPr>
        <w:t xml:space="preserve"> </w:t>
      </w:r>
      <w:proofErr w:type="spellStart"/>
      <w:r w:rsidR="00196BDC" w:rsidRPr="00196BDC">
        <w:rPr>
          <w:rFonts w:ascii="Cambria" w:hAnsi="Cambria" w:cs="Tahoma"/>
        </w:rPr>
        <w:t>terkait</w:t>
      </w:r>
      <w:proofErr w:type="spellEnd"/>
      <w:r w:rsidR="00196BDC" w:rsidRPr="00196BDC">
        <w:rPr>
          <w:rFonts w:ascii="Cambria" w:hAnsi="Cambria" w:cs="Tahoma"/>
        </w:rPr>
        <w:t xml:space="preserve"> fibrosis pada </w:t>
      </w:r>
      <w:proofErr w:type="spellStart"/>
      <w:r w:rsidR="00196BDC" w:rsidRPr="00196BDC">
        <w:rPr>
          <w:rFonts w:ascii="Cambria" w:hAnsi="Cambria" w:cs="Tahoma"/>
        </w:rPr>
        <w:t>infeksi</w:t>
      </w:r>
      <w:proofErr w:type="spellEnd"/>
      <w:r w:rsidR="00196BDC" w:rsidRPr="00196BDC">
        <w:rPr>
          <w:rFonts w:ascii="Cambria" w:hAnsi="Cambria" w:cs="Tahoma"/>
        </w:rPr>
        <w:t xml:space="preserve"> COVID-19. </w:t>
      </w:r>
    </w:p>
    <w:p w14:paraId="375C6E5D" w14:textId="7189E07B" w:rsidR="00196BDC" w:rsidRPr="00196BDC" w:rsidRDefault="008D2E65" w:rsidP="00196BDC">
      <w:pPr>
        <w:spacing w:after="0" w:line="240" w:lineRule="auto"/>
        <w:ind w:firstLine="720"/>
        <w:jc w:val="both"/>
        <w:rPr>
          <w:rFonts w:ascii="Cambria" w:hAnsi="Cambria" w:cs="Tahoma"/>
        </w:rPr>
      </w:pPr>
      <w:proofErr w:type="spellStart"/>
      <w:r>
        <w:rPr>
          <w:rFonts w:ascii="Cambria" w:hAnsi="Cambria" w:cs="Tahoma"/>
        </w:rPr>
        <w:t>B</w:t>
      </w:r>
      <w:r w:rsidR="00196BDC" w:rsidRPr="00196BDC">
        <w:rPr>
          <w:rFonts w:ascii="Cambria" w:hAnsi="Cambria" w:cs="Tahoma"/>
        </w:rPr>
        <w:t>eberapa</w:t>
      </w:r>
      <w:proofErr w:type="spellEnd"/>
      <w:r w:rsidR="00196BDC" w:rsidRPr="00196BDC">
        <w:rPr>
          <w:rFonts w:ascii="Cambria" w:hAnsi="Cambria" w:cs="Tahoma"/>
        </w:rPr>
        <w:t xml:space="preserve"> </w:t>
      </w:r>
      <w:proofErr w:type="spellStart"/>
      <w:r w:rsidR="00196BDC" w:rsidRPr="00196BDC">
        <w:rPr>
          <w:rFonts w:ascii="Cambria" w:hAnsi="Cambria" w:cs="Tahoma"/>
        </w:rPr>
        <w:t>penelitian</w:t>
      </w:r>
      <w:proofErr w:type="spellEnd"/>
      <w:r w:rsidR="00196BDC" w:rsidRPr="00196BDC">
        <w:rPr>
          <w:rFonts w:ascii="Cambria" w:hAnsi="Cambria" w:cs="Tahoma"/>
        </w:rPr>
        <w:t xml:space="preserve"> </w:t>
      </w:r>
      <w:proofErr w:type="spellStart"/>
      <w:r w:rsidR="00196BDC" w:rsidRPr="00196BDC">
        <w:rPr>
          <w:rFonts w:ascii="Cambria" w:hAnsi="Cambria" w:cs="Tahoma"/>
        </w:rPr>
        <w:t>telah</w:t>
      </w:r>
      <w:proofErr w:type="spellEnd"/>
      <w:r w:rsidR="00196BDC" w:rsidRPr="00196BDC">
        <w:rPr>
          <w:rFonts w:ascii="Cambria" w:hAnsi="Cambria" w:cs="Tahoma"/>
        </w:rPr>
        <w:t xml:space="preserve"> </w:t>
      </w:r>
      <w:proofErr w:type="spellStart"/>
      <w:r w:rsidR="00196BDC" w:rsidRPr="00196BDC">
        <w:rPr>
          <w:rFonts w:ascii="Cambria" w:hAnsi="Cambria" w:cs="Tahoma"/>
        </w:rPr>
        <w:t>melaporkan</w:t>
      </w:r>
      <w:proofErr w:type="spellEnd"/>
      <w:r w:rsidR="00196BDC" w:rsidRPr="00196BDC">
        <w:rPr>
          <w:rFonts w:ascii="Cambria" w:hAnsi="Cambria" w:cs="Tahoma"/>
        </w:rPr>
        <w:t xml:space="preserve"> </w:t>
      </w:r>
      <w:proofErr w:type="spellStart"/>
      <w:r w:rsidR="00196BDC" w:rsidRPr="00196BDC">
        <w:rPr>
          <w:rFonts w:ascii="Cambria" w:hAnsi="Cambria" w:cs="Tahoma"/>
        </w:rPr>
        <w:t>efek</w:t>
      </w:r>
      <w:proofErr w:type="spellEnd"/>
      <w:r w:rsidR="00196BDC" w:rsidRPr="00196BDC">
        <w:rPr>
          <w:rFonts w:ascii="Cambria" w:hAnsi="Cambria" w:cs="Tahoma"/>
        </w:rPr>
        <w:t xml:space="preserve"> </w:t>
      </w:r>
      <w:proofErr w:type="spellStart"/>
      <w:r w:rsidR="00196BDC" w:rsidRPr="00196BDC">
        <w:rPr>
          <w:rFonts w:ascii="Cambria" w:hAnsi="Cambria" w:cs="Tahoma"/>
        </w:rPr>
        <w:t>terapi</w:t>
      </w:r>
      <w:proofErr w:type="spellEnd"/>
      <w:r w:rsidR="00196BDC" w:rsidRPr="00196BDC">
        <w:rPr>
          <w:rFonts w:ascii="Cambria" w:hAnsi="Cambria" w:cs="Tahoma"/>
        </w:rPr>
        <w:t xml:space="preserve"> </w:t>
      </w:r>
      <w:proofErr w:type="spellStart"/>
      <w:r w:rsidR="00196BDC" w:rsidRPr="00196BDC">
        <w:rPr>
          <w:rFonts w:ascii="Cambria" w:hAnsi="Cambria" w:cs="Tahoma"/>
        </w:rPr>
        <w:t>sinergis</w:t>
      </w:r>
      <w:proofErr w:type="spellEnd"/>
      <w:r w:rsidR="00196BDC" w:rsidRPr="00196BDC">
        <w:rPr>
          <w:rFonts w:ascii="Cambria" w:hAnsi="Cambria" w:cs="Tahoma"/>
        </w:rPr>
        <w:t xml:space="preserve"> </w:t>
      </w:r>
      <w:proofErr w:type="spellStart"/>
      <w:r w:rsidR="00196BDC" w:rsidRPr="00196BDC">
        <w:rPr>
          <w:rFonts w:ascii="Cambria" w:hAnsi="Cambria" w:cs="Tahoma"/>
        </w:rPr>
        <w:t>kurkumin</w:t>
      </w:r>
      <w:proofErr w:type="spellEnd"/>
      <w:r w:rsidR="00196BDC" w:rsidRPr="00196BDC">
        <w:rPr>
          <w:rFonts w:ascii="Cambria" w:hAnsi="Cambria" w:cs="Tahoma"/>
        </w:rPr>
        <w:t xml:space="preserve"> </w:t>
      </w:r>
      <w:proofErr w:type="spellStart"/>
      <w:r w:rsidR="00196BDC" w:rsidRPr="00196BDC">
        <w:rPr>
          <w:rFonts w:ascii="Cambria" w:hAnsi="Cambria" w:cs="Tahoma"/>
        </w:rPr>
        <w:t>dengan</w:t>
      </w:r>
      <w:proofErr w:type="spellEnd"/>
      <w:r w:rsidR="00196BDC" w:rsidRPr="00196BDC">
        <w:rPr>
          <w:rFonts w:ascii="Cambria" w:hAnsi="Cambria" w:cs="Tahoma"/>
        </w:rPr>
        <w:t xml:space="preserve"> </w:t>
      </w:r>
      <w:proofErr w:type="spellStart"/>
      <w:r w:rsidR="00196BDC" w:rsidRPr="00196BDC">
        <w:rPr>
          <w:rFonts w:ascii="Cambria" w:hAnsi="Cambria" w:cs="Tahoma"/>
        </w:rPr>
        <w:t>senyawa</w:t>
      </w:r>
      <w:proofErr w:type="spellEnd"/>
      <w:r w:rsidR="00196BDC" w:rsidRPr="00196BDC">
        <w:rPr>
          <w:rFonts w:ascii="Cambria" w:hAnsi="Cambria" w:cs="Tahoma"/>
        </w:rPr>
        <w:t xml:space="preserve"> </w:t>
      </w:r>
      <w:proofErr w:type="spellStart"/>
      <w:r w:rsidR="00196BDC" w:rsidRPr="00196BDC">
        <w:rPr>
          <w:rFonts w:ascii="Cambria" w:hAnsi="Cambria" w:cs="Tahoma"/>
        </w:rPr>
        <w:t>alami</w:t>
      </w:r>
      <w:proofErr w:type="spellEnd"/>
      <w:r w:rsidR="00196BDC" w:rsidRPr="00196BDC">
        <w:rPr>
          <w:rFonts w:ascii="Cambria" w:hAnsi="Cambria" w:cs="Tahoma"/>
        </w:rPr>
        <w:t xml:space="preserve"> </w:t>
      </w:r>
      <w:proofErr w:type="spellStart"/>
      <w:r w:rsidR="00196BDC" w:rsidRPr="00196BDC">
        <w:rPr>
          <w:rFonts w:ascii="Cambria" w:hAnsi="Cambria" w:cs="Tahoma"/>
        </w:rPr>
        <w:t>atau</w:t>
      </w:r>
      <w:proofErr w:type="spellEnd"/>
      <w:r w:rsidR="00196BDC" w:rsidRPr="00196BDC">
        <w:rPr>
          <w:rFonts w:ascii="Cambria" w:hAnsi="Cambria" w:cs="Tahoma"/>
        </w:rPr>
        <w:t xml:space="preserve"> </w:t>
      </w:r>
      <w:proofErr w:type="spellStart"/>
      <w:r w:rsidR="00196BDC" w:rsidRPr="00196BDC">
        <w:rPr>
          <w:rFonts w:ascii="Cambria" w:hAnsi="Cambria" w:cs="Tahoma"/>
        </w:rPr>
        <w:t>sintetis</w:t>
      </w:r>
      <w:proofErr w:type="spellEnd"/>
      <w:r w:rsidR="00196BDC" w:rsidRPr="00196BDC">
        <w:rPr>
          <w:rFonts w:ascii="Cambria" w:hAnsi="Cambria" w:cs="Tahoma"/>
        </w:rPr>
        <w:t xml:space="preserve"> </w:t>
      </w:r>
      <w:proofErr w:type="spellStart"/>
      <w:r w:rsidR="00196BDC" w:rsidRPr="00196BDC">
        <w:rPr>
          <w:rFonts w:ascii="Cambria" w:hAnsi="Cambria" w:cs="Tahoma"/>
        </w:rPr>
        <w:t>lainnya</w:t>
      </w:r>
      <w:proofErr w:type="spellEnd"/>
      <w:r w:rsidR="00196BDC" w:rsidRPr="00196BDC">
        <w:rPr>
          <w:rFonts w:ascii="Cambria" w:hAnsi="Cambria" w:cs="Tahoma"/>
        </w:rPr>
        <w:fldChar w:fldCharType="begin" w:fldLock="1"/>
      </w:r>
      <w:r w:rsidR="00213308">
        <w:rPr>
          <w:rFonts w:ascii="Cambria" w:hAnsi="Cambria" w:cs="Tahoma"/>
        </w:rPr>
        <w:instrText>ADDIN CSL_CITATION {"citationItems":[{"id":"ITEM-1","itemData":{"DOI":"10.1021/cn3001203","ISSN":"19487193","PMID":"23509976","abstract":"In human beings, Parkinson's disease (PD) is associated with the oligomerization and amyloid formation of α-synuclein (α-Syn). The polyphenolic Asian food ingredient curcumin has proven to be effective against a wide range of human diseases including cancers and neurological disorders. While curcumin has been shown to significantly reduce cell toxicity of α-Syn aggregates, its mechanism of action remains unexplored. Here, using a series of biophysical techniques, we demonstrate that curcumin reduces toxicity by binding to preformed oligomers and fibrils and altering their hydrophobic surface exposure. Further, our fluorescence and two-dimensional nuclear magnetic resonance (2D-NMR) data indicate that curcumin does not bind to monomeric α-Syn but binds specifically to oligomeric intermediates. The degree of curcumin binding correlates with the extent of α-Syn oligomerization, suggesting that the ordered structure of protein is required for effective curcumin binding. The acceleration of aggregation by curcumin may decrease the population of toxic oligomeric intermediates of α-Syn. Collectively; our results suggest that curcumin and related polyphenolic compounds can be pursued as candidate drug targets for treatment of PD and other neurological diseases. © 2012 American Chemical Society.","author":[{"dropping-particle":"","family":"Singh","given":"Pradeep K.","non-dropping-particle":"","parse-names":false,"suffix":""},{"dropping-particle":"","family":"Kotia","given":"Vasudha","non-dropping-particle":"","parse-names":false,"suffix":""},{"dropping-particle":"","family":"Ghosh","given":"Dhiman","non-dropping-particle":"","parse-names":false,"suffix":""},{"dropping-particle":"","family":"Mohite","given":"Ganesh M.","non-dropping-particle":"","parse-names":false,"suffix":""},{"dropping-particle":"","family":"Kumar","given":"Ashutosh","non-dropping-particle":"","parse-names":false,"suffix":""},{"dropping-particle":"","family":"Maji","given":"Samir K.","non-dropping-particle":"","parse-names":false,"suffix":""}],"container-title":"ACS Chemical Neuroscience","id":"ITEM-1","issue":"3","issued":{"date-parts":[["2013"]]},"page":"393-407","title":"Curcumin modulates α-synuclein aggregation and toxicity","type":"article-journal","volume":"4"},"uris":["http://www.mendeley.com/documents/?uuid=7e229520-7102-4ae5-b3ed-3e788c114cc7"]}],"mendeley":{"formattedCitation":"(Singh et al., 2013)","plainTextFormattedCitation":"(Singh et al., 2013)","previouslyFormattedCitation":"(Singh et al., 2013)"},"properties":{"noteIndex":0},"schema":"https://github.com/citation-style-language/schema/raw/master/csl-citation.json"}</w:instrText>
      </w:r>
      <w:r w:rsidR="00196BDC" w:rsidRPr="00196BDC">
        <w:rPr>
          <w:rFonts w:ascii="Cambria" w:hAnsi="Cambria" w:cs="Tahoma"/>
        </w:rPr>
        <w:fldChar w:fldCharType="separate"/>
      </w:r>
      <w:r w:rsidR="00213308" w:rsidRPr="00213308">
        <w:rPr>
          <w:rFonts w:ascii="Cambria" w:hAnsi="Cambria" w:cs="Tahoma"/>
          <w:noProof/>
        </w:rPr>
        <w:t>(Singh et al., 2013)</w:t>
      </w:r>
      <w:r w:rsidR="00196BDC" w:rsidRPr="00196BDC">
        <w:rPr>
          <w:rFonts w:ascii="Cambria" w:hAnsi="Cambria" w:cs="Tahoma"/>
        </w:rPr>
        <w:fldChar w:fldCharType="end"/>
      </w:r>
      <w:r w:rsidR="00196BDC" w:rsidRPr="00196BDC">
        <w:rPr>
          <w:rFonts w:ascii="Cambria" w:hAnsi="Cambria" w:cs="Tahoma"/>
        </w:rPr>
        <w:t xml:space="preserve">. </w:t>
      </w:r>
      <w:proofErr w:type="spellStart"/>
      <w:r w:rsidR="00196BDC" w:rsidRPr="00196BDC">
        <w:rPr>
          <w:rFonts w:ascii="Cambria" w:hAnsi="Cambria" w:cs="Tahoma"/>
        </w:rPr>
        <w:t>Secara</w:t>
      </w:r>
      <w:proofErr w:type="spellEnd"/>
      <w:r w:rsidR="00196BDC" w:rsidRPr="00196BDC">
        <w:rPr>
          <w:rFonts w:ascii="Cambria" w:hAnsi="Cambria" w:cs="Tahoma"/>
        </w:rPr>
        <w:t xml:space="preserve"> </w:t>
      </w:r>
      <w:proofErr w:type="spellStart"/>
      <w:r w:rsidR="00196BDC" w:rsidRPr="00196BDC">
        <w:rPr>
          <w:rFonts w:ascii="Cambria" w:hAnsi="Cambria" w:cs="Tahoma"/>
        </w:rPr>
        <w:t>keseluruhan</w:t>
      </w:r>
      <w:proofErr w:type="spellEnd"/>
      <w:r w:rsidR="00196BDC" w:rsidRPr="00196BDC">
        <w:rPr>
          <w:rFonts w:ascii="Cambria" w:hAnsi="Cambria" w:cs="Tahoma"/>
        </w:rPr>
        <w:t xml:space="preserve">, </w:t>
      </w:r>
      <w:proofErr w:type="spellStart"/>
      <w:r w:rsidR="00196BDC" w:rsidRPr="00196BDC">
        <w:rPr>
          <w:rFonts w:ascii="Cambria" w:hAnsi="Cambria" w:cs="Tahoma"/>
        </w:rPr>
        <w:t>efek</w:t>
      </w:r>
      <w:proofErr w:type="spellEnd"/>
      <w:r w:rsidR="00196BDC" w:rsidRPr="00196BDC">
        <w:rPr>
          <w:rFonts w:ascii="Cambria" w:hAnsi="Cambria" w:cs="Tahoma"/>
        </w:rPr>
        <w:t xml:space="preserve"> anti-</w:t>
      </w:r>
      <w:proofErr w:type="spellStart"/>
      <w:r w:rsidR="00196BDC" w:rsidRPr="00196BDC">
        <w:rPr>
          <w:rFonts w:ascii="Cambria" w:hAnsi="Cambria" w:cs="Tahoma"/>
        </w:rPr>
        <w:t>inflamasi</w:t>
      </w:r>
      <w:proofErr w:type="spellEnd"/>
      <w:r w:rsidR="00196BDC" w:rsidRPr="00196BDC">
        <w:rPr>
          <w:rFonts w:ascii="Cambria" w:hAnsi="Cambria" w:cs="Tahoma"/>
        </w:rPr>
        <w:t xml:space="preserve"> dan </w:t>
      </w:r>
      <w:proofErr w:type="spellStart"/>
      <w:r w:rsidR="00196BDC" w:rsidRPr="00196BDC">
        <w:rPr>
          <w:rFonts w:ascii="Cambria" w:hAnsi="Cambria" w:cs="Tahoma"/>
        </w:rPr>
        <w:lastRenderedPageBreak/>
        <w:t>imunomodulator</w:t>
      </w:r>
      <w:proofErr w:type="spellEnd"/>
      <w:r w:rsidR="00196BDC" w:rsidRPr="00196BDC">
        <w:rPr>
          <w:rFonts w:ascii="Cambria" w:hAnsi="Cambria" w:cs="Tahoma"/>
        </w:rPr>
        <w:t xml:space="preserve"> </w:t>
      </w:r>
      <w:proofErr w:type="spellStart"/>
      <w:r w:rsidR="00196BDC" w:rsidRPr="00196BDC">
        <w:rPr>
          <w:rFonts w:ascii="Cambria" w:hAnsi="Cambria" w:cs="Tahoma"/>
        </w:rPr>
        <w:t>kurkumin</w:t>
      </w:r>
      <w:proofErr w:type="spellEnd"/>
      <w:r w:rsidR="00196BDC" w:rsidRPr="00196BDC">
        <w:rPr>
          <w:rFonts w:ascii="Cambria" w:hAnsi="Cambria" w:cs="Tahoma"/>
        </w:rPr>
        <w:t xml:space="preserve"> yang </w:t>
      </w:r>
      <w:proofErr w:type="spellStart"/>
      <w:r w:rsidR="00196BDC" w:rsidRPr="00196BDC">
        <w:rPr>
          <w:rFonts w:ascii="Cambria" w:hAnsi="Cambria" w:cs="Tahoma"/>
        </w:rPr>
        <w:t>terdokumentasi</w:t>
      </w:r>
      <w:proofErr w:type="spellEnd"/>
      <w:r w:rsidR="00196BDC" w:rsidRPr="00196BDC">
        <w:rPr>
          <w:rFonts w:ascii="Cambria" w:hAnsi="Cambria" w:cs="Tahoma"/>
        </w:rPr>
        <w:t xml:space="preserve"> </w:t>
      </w:r>
      <w:proofErr w:type="spellStart"/>
      <w:r w:rsidR="00196BDC" w:rsidRPr="00196BDC">
        <w:rPr>
          <w:rFonts w:ascii="Cambria" w:hAnsi="Cambria" w:cs="Tahoma"/>
        </w:rPr>
        <w:t>dengan</w:t>
      </w:r>
      <w:proofErr w:type="spellEnd"/>
      <w:r w:rsidR="00196BDC" w:rsidRPr="00196BDC">
        <w:rPr>
          <w:rFonts w:ascii="Cambria" w:hAnsi="Cambria" w:cs="Tahoma"/>
        </w:rPr>
        <w:t xml:space="preserve"> </w:t>
      </w:r>
      <w:proofErr w:type="spellStart"/>
      <w:r w:rsidR="00196BDC" w:rsidRPr="00196BDC">
        <w:rPr>
          <w:rFonts w:ascii="Cambria" w:hAnsi="Cambria" w:cs="Tahoma"/>
        </w:rPr>
        <w:t>baik</w:t>
      </w:r>
      <w:proofErr w:type="spellEnd"/>
      <w:r w:rsidR="00196BDC" w:rsidRPr="00196BDC">
        <w:rPr>
          <w:rFonts w:ascii="Cambria" w:hAnsi="Cambria" w:cs="Tahoma"/>
        </w:rPr>
        <w:t xml:space="preserve"> </w:t>
      </w:r>
      <w:proofErr w:type="spellStart"/>
      <w:r w:rsidR="00196BDC" w:rsidRPr="00196BDC">
        <w:rPr>
          <w:rFonts w:ascii="Cambria" w:hAnsi="Cambria" w:cs="Tahoma"/>
        </w:rPr>
        <w:t>bersama</w:t>
      </w:r>
      <w:proofErr w:type="spellEnd"/>
      <w:r w:rsidR="00196BDC" w:rsidRPr="00196BDC">
        <w:rPr>
          <w:rFonts w:ascii="Cambria" w:hAnsi="Cambria" w:cs="Tahoma"/>
        </w:rPr>
        <w:t xml:space="preserve"> </w:t>
      </w:r>
      <w:proofErr w:type="spellStart"/>
      <w:r w:rsidR="00196BDC" w:rsidRPr="00196BDC">
        <w:rPr>
          <w:rFonts w:ascii="Cambria" w:hAnsi="Cambria" w:cs="Tahoma"/>
        </w:rPr>
        <w:t>dengan</w:t>
      </w:r>
      <w:proofErr w:type="spellEnd"/>
      <w:r w:rsidR="00196BDC" w:rsidRPr="00196BDC">
        <w:rPr>
          <w:rFonts w:ascii="Cambria" w:hAnsi="Cambria" w:cs="Tahoma"/>
        </w:rPr>
        <w:t xml:space="preserve"> </w:t>
      </w:r>
      <w:proofErr w:type="spellStart"/>
      <w:r w:rsidR="00196BDC" w:rsidRPr="00196BDC">
        <w:rPr>
          <w:rFonts w:ascii="Cambria" w:hAnsi="Cambria" w:cs="Tahoma"/>
        </w:rPr>
        <w:t>bukti</w:t>
      </w:r>
      <w:proofErr w:type="spellEnd"/>
      <w:r w:rsidR="00196BDC" w:rsidRPr="00196BDC">
        <w:rPr>
          <w:rFonts w:ascii="Cambria" w:hAnsi="Cambria" w:cs="Tahoma"/>
        </w:rPr>
        <w:t xml:space="preserve"> </w:t>
      </w:r>
      <w:proofErr w:type="spellStart"/>
      <w:r w:rsidR="00196BDC" w:rsidRPr="00196BDC">
        <w:rPr>
          <w:rFonts w:ascii="Cambria" w:hAnsi="Cambria" w:cs="Tahoma"/>
        </w:rPr>
        <w:t>tentang</w:t>
      </w:r>
      <w:proofErr w:type="spellEnd"/>
      <w:r w:rsidR="00196BDC" w:rsidRPr="00196BDC">
        <w:rPr>
          <w:rFonts w:ascii="Cambria" w:hAnsi="Cambria" w:cs="Tahoma"/>
        </w:rPr>
        <w:t xml:space="preserve"> </w:t>
      </w:r>
      <w:proofErr w:type="spellStart"/>
      <w:r w:rsidR="00196BDC" w:rsidRPr="00196BDC">
        <w:rPr>
          <w:rFonts w:ascii="Cambria" w:hAnsi="Cambria" w:cs="Tahoma"/>
        </w:rPr>
        <w:t>efek</w:t>
      </w:r>
      <w:proofErr w:type="spellEnd"/>
      <w:r w:rsidR="00196BDC" w:rsidRPr="00196BDC">
        <w:rPr>
          <w:rFonts w:ascii="Cambria" w:hAnsi="Cambria" w:cs="Tahoma"/>
        </w:rPr>
        <w:t xml:space="preserve"> anti-</w:t>
      </w:r>
      <w:proofErr w:type="spellStart"/>
      <w:r w:rsidR="00196BDC" w:rsidRPr="00196BDC">
        <w:rPr>
          <w:rFonts w:ascii="Cambria" w:hAnsi="Cambria" w:cs="Tahoma"/>
        </w:rPr>
        <w:t>fibrotik</w:t>
      </w:r>
      <w:proofErr w:type="spellEnd"/>
      <w:r w:rsidR="00196BDC" w:rsidRPr="00196BDC">
        <w:rPr>
          <w:rFonts w:ascii="Cambria" w:hAnsi="Cambria" w:cs="Tahoma"/>
        </w:rPr>
        <w:t xml:space="preserve"> dan </w:t>
      </w:r>
      <w:proofErr w:type="spellStart"/>
      <w:r w:rsidR="00196BDC" w:rsidRPr="00196BDC">
        <w:rPr>
          <w:rFonts w:ascii="Cambria" w:hAnsi="Cambria" w:cs="Tahoma"/>
        </w:rPr>
        <w:t>pulmonoprotektif</w:t>
      </w:r>
      <w:proofErr w:type="spellEnd"/>
      <w:r w:rsidR="00196BDC" w:rsidRPr="00196BDC">
        <w:rPr>
          <w:rFonts w:ascii="Cambria" w:hAnsi="Cambria" w:cs="Tahoma"/>
        </w:rPr>
        <w:t xml:space="preserve"> </w:t>
      </w:r>
      <w:proofErr w:type="spellStart"/>
      <w:r w:rsidR="00196BDC" w:rsidRPr="00196BDC">
        <w:rPr>
          <w:rFonts w:ascii="Cambria" w:hAnsi="Cambria" w:cs="Tahoma"/>
        </w:rPr>
        <w:t>dari</w:t>
      </w:r>
      <w:proofErr w:type="spellEnd"/>
      <w:r w:rsidR="00196BDC" w:rsidRPr="00196BDC">
        <w:rPr>
          <w:rFonts w:ascii="Cambria" w:hAnsi="Cambria" w:cs="Tahoma"/>
        </w:rPr>
        <w:t xml:space="preserve"> </w:t>
      </w:r>
      <w:proofErr w:type="spellStart"/>
      <w:r w:rsidR="00196BDC" w:rsidRPr="00196BDC">
        <w:rPr>
          <w:rFonts w:ascii="Cambria" w:hAnsi="Cambria" w:cs="Tahoma"/>
        </w:rPr>
        <w:t>fitokimia</w:t>
      </w:r>
      <w:proofErr w:type="spellEnd"/>
      <w:r w:rsidR="00196BDC" w:rsidRPr="00196BDC">
        <w:rPr>
          <w:rFonts w:ascii="Cambria" w:hAnsi="Cambria" w:cs="Tahoma"/>
        </w:rPr>
        <w:t xml:space="preserve"> </w:t>
      </w:r>
      <w:proofErr w:type="spellStart"/>
      <w:r w:rsidR="00196BDC" w:rsidRPr="00196BDC">
        <w:rPr>
          <w:rFonts w:ascii="Cambria" w:hAnsi="Cambria" w:cs="Tahoma"/>
        </w:rPr>
        <w:t>ini</w:t>
      </w:r>
      <w:proofErr w:type="spellEnd"/>
      <w:r w:rsidR="00196BDC" w:rsidRPr="00196BDC">
        <w:rPr>
          <w:rFonts w:ascii="Cambria" w:hAnsi="Cambria" w:cs="Tahoma"/>
        </w:rPr>
        <w:t xml:space="preserve"> pada </w:t>
      </w:r>
      <w:proofErr w:type="spellStart"/>
      <w:r w:rsidR="00196BDC" w:rsidRPr="00196BDC">
        <w:rPr>
          <w:rFonts w:ascii="Cambria" w:hAnsi="Cambria" w:cs="Tahoma"/>
        </w:rPr>
        <w:t>jaringan</w:t>
      </w:r>
      <w:proofErr w:type="spellEnd"/>
      <w:r w:rsidR="00196BDC" w:rsidRPr="00196BDC">
        <w:rPr>
          <w:rFonts w:ascii="Cambria" w:hAnsi="Cambria" w:cs="Tahoma"/>
        </w:rPr>
        <w:t xml:space="preserve"> </w:t>
      </w:r>
      <w:proofErr w:type="spellStart"/>
      <w:r w:rsidR="00196BDC" w:rsidRPr="00196BDC">
        <w:rPr>
          <w:rFonts w:ascii="Cambria" w:hAnsi="Cambria" w:cs="Tahoma"/>
        </w:rPr>
        <w:t>paru-paru</w:t>
      </w:r>
      <w:proofErr w:type="spellEnd"/>
      <w:r w:rsidR="00196BDC" w:rsidRPr="00196BDC">
        <w:rPr>
          <w:rFonts w:ascii="Cambria" w:hAnsi="Cambria" w:cs="Tahoma"/>
        </w:rPr>
        <w:t xml:space="preserve"> </w:t>
      </w:r>
      <w:proofErr w:type="spellStart"/>
      <w:r w:rsidR="00196BDC" w:rsidRPr="00196BDC">
        <w:rPr>
          <w:rFonts w:ascii="Cambria" w:hAnsi="Cambria" w:cs="Tahoma"/>
        </w:rPr>
        <w:t>menjadikannya</w:t>
      </w:r>
      <w:proofErr w:type="spellEnd"/>
      <w:r w:rsidR="00196BDC" w:rsidRPr="00196BDC">
        <w:rPr>
          <w:rFonts w:ascii="Cambria" w:hAnsi="Cambria" w:cs="Tahoma"/>
        </w:rPr>
        <w:t xml:space="preserve"> </w:t>
      </w:r>
      <w:proofErr w:type="spellStart"/>
      <w:r w:rsidR="00196BDC" w:rsidRPr="00196BDC">
        <w:rPr>
          <w:rFonts w:ascii="Cambria" w:hAnsi="Cambria" w:cs="Tahoma"/>
        </w:rPr>
        <w:t>kandidat</w:t>
      </w:r>
      <w:proofErr w:type="spellEnd"/>
      <w:r w:rsidR="00196BDC" w:rsidRPr="00196BDC">
        <w:rPr>
          <w:rFonts w:ascii="Cambria" w:hAnsi="Cambria" w:cs="Tahoma"/>
        </w:rPr>
        <w:t xml:space="preserve"> yang </w:t>
      </w:r>
      <w:proofErr w:type="spellStart"/>
      <w:r w:rsidR="00196BDC" w:rsidRPr="00196BDC">
        <w:rPr>
          <w:rFonts w:ascii="Cambria" w:hAnsi="Cambria" w:cs="Tahoma"/>
        </w:rPr>
        <w:t>menjanjikan</w:t>
      </w:r>
      <w:proofErr w:type="spellEnd"/>
      <w:r w:rsidR="00196BDC" w:rsidRPr="00196BDC">
        <w:rPr>
          <w:rFonts w:ascii="Cambria" w:hAnsi="Cambria" w:cs="Tahoma"/>
        </w:rPr>
        <w:t xml:space="preserve"> </w:t>
      </w:r>
      <w:proofErr w:type="spellStart"/>
      <w:r w:rsidR="00196BDC" w:rsidRPr="00196BDC">
        <w:rPr>
          <w:rFonts w:ascii="Cambria" w:hAnsi="Cambria" w:cs="Tahoma"/>
        </w:rPr>
        <w:t>untuk</w:t>
      </w:r>
      <w:proofErr w:type="spellEnd"/>
      <w:r w:rsidR="00196BDC" w:rsidRPr="00196BDC">
        <w:rPr>
          <w:rFonts w:ascii="Cambria" w:hAnsi="Cambria" w:cs="Tahoma"/>
        </w:rPr>
        <w:t xml:space="preserve"> </w:t>
      </w:r>
      <w:proofErr w:type="spellStart"/>
      <w:r w:rsidR="00196BDC" w:rsidRPr="00196BDC">
        <w:rPr>
          <w:rFonts w:ascii="Cambria" w:hAnsi="Cambria" w:cs="Tahoma"/>
        </w:rPr>
        <w:t>pengobatan</w:t>
      </w:r>
      <w:proofErr w:type="spellEnd"/>
      <w:r w:rsidR="00196BDC" w:rsidRPr="00196BDC">
        <w:rPr>
          <w:rFonts w:ascii="Cambria" w:hAnsi="Cambria" w:cs="Tahoma"/>
        </w:rPr>
        <w:t xml:space="preserve"> COVID-19</w:t>
      </w:r>
      <w:r w:rsidR="00196BDC" w:rsidRPr="00196BDC">
        <w:rPr>
          <w:rFonts w:ascii="Cambria" w:hAnsi="Cambria" w:cs="Tahoma"/>
        </w:rPr>
        <w:fldChar w:fldCharType="begin" w:fldLock="1"/>
      </w:r>
      <w:r w:rsidR="00213308">
        <w:rPr>
          <w:rFonts w:ascii="Cambria" w:hAnsi="Cambria" w:cs="Tahoma"/>
        </w:rPr>
        <w:instrText>ADDIN CSL_CITATION {"citationItems":[{"id":"ITEM-1","itemData":{"DOI":"10.3389/fphar.2021.675287","ISSN":"16639812","abstract":"Coronavirus disease 2019 (COVID-19) is an infectious disease that rapidly spread throughout the world leading to high mortality rates. Despite the knowledge of previous diseases caused by viruses of the same family, such as MERS and SARS-CoV, management and treatment of patients with COVID-19 is a challenge. One of the best strategies around the world to help combat the COVID-19 has been directed to drug repositioning; however, these drugs are not specific to this new virus. Additionally, the pathophysiology of COVID-19 is highly heterogeneous, and the way of SARS-CoV-2 modulates the different systems in the host remains unidentified, despite recent discoveries. This complex and multifactorial response requires a comprehensive therapeutic approach, enabling the integration and refinement of therapeutic responses of a given single compound that has several action potentials. In this context, natural compounds, such as Curcumin, have shown beneficial effects on the progression of inflammatory diseases due to its numerous action mechanisms: antiviral, anti-inflammatory, anticoagulant, antiplatelet, and cytoprotective. These and many other effects of curcumin make it a promising target in the adjuvant treatment of COVID-19. Hence, the purpose of this review is to specifically point out how curcumin could interfere at different times/points during the infection caused by SARS-CoV-2, providing a substantial contribution of curcumin as a new adjuvant therapy for the treatment of COVID-19.","author":[{"dropping-particle":"","family":"Rattis","given":"Bruna A.C.","non-dropping-particle":"","parse-names":false,"suffix":""},{"dropping-particle":"","family":"Ramos","given":"Simone G.","non-dropping-particle":"","parse-names":false,"suffix":""},{"dropping-particle":"","family":"Celes","given":"Mara R.N.","non-dropping-particle":"","parse-names":false,"suffix":""}],"container-title":"Frontiers in Pharmacology","id":"ITEM-1","issue":"May","issued":{"date-parts":[["2021"]]},"page":"1-14","title":"Curcumin as a Potential Treatment for COVID-19","type":"article-journal","volume":"12"},"uris":["http://www.mendeley.com/documents/?uuid=31445cfb-9195-4366-b13d-0f81aad0ecfa"]}],"mendeley":{"formattedCitation":"(Rattis et al., 2021)","plainTextFormattedCitation":"(Rattis et al., 2021)","previouslyFormattedCitation":"(Rattis et al., 2021)"},"properties":{"noteIndex":0},"schema":"https://github.com/citation-style-language/schema/raw/master/csl-citation.json"}</w:instrText>
      </w:r>
      <w:r w:rsidR="00196BDC" w:rsidRPr="00196BDC">
        <w:rPr>
          <w:rFonts w:ascii="Cambria" w:hAnsi="Cambria" w:cs="Tahoma"/>
        </w:rPr>
        <w:fldChar w:fldCharType="separate"/>
      </w:r>
      <w:r w:rsidR="00213308" w:rsidRPr="00213308">
        <w:rPr>
          <w:rFonts w:ascii="Cambria" w:hAnsi="Cambria" w:cs="Tahoma"/>
          <w:noProof/>
        </w:rPr>
        <w:t>(</w:t>
      </w:r>
      <w:proofErr w:type="spellStart"/>
      <w:r w:rsidR="00213308" w:rsidRPr="00213308">
        <w:rPr>
          <w:rFonts w:ascii="Cambria" w:hAnsi="Cambria" w:cs="Tahoma"/>
          <w:noProof/>
        </w:rPr>
        <w:t>Rattis</w:t>
      </w:r>
      <w:proofErr w:type="spellEnd"/>
      <w:r w:rsidR="00213308" w:rsidRPr="00213308">
        <w:rPr>
          <w:rFonts w:ascii="Cambria" w:hAnsi="Cambria" w:cs="Tahoma"/>
          <w:noProof/>
        </w:rPr>
        <w:t xml:space="preserve"> et al., 2021)</w:t>
      </w:r>
      <w:r w:rsidR="00196BDC" w:rsidRPr="00196BDC">
        <w:rPr>
          <w:rFonts w:ascii="Cambria" w:hAnsi="Cambria" w:cs="Tahoma"/>
        </w:rPr>
        <w:fldChar w:fldCharType="end"/>
      </w:r>
      <w:r w:rsidR="00196BDC" w:rsidRPr="00196BDC">
        <w:rPr>
          <w:rFonts w:ascii="Cambria" w:hAnsi="Cambria" w:cs="Tahoma"/>
        </w:rPr>
        <w:t xml:space="preserve">. </w:t>
      </w:r>
    </w:p>
    <w:p w14:paraId="4CC6617F" w14:textId="7002A4DF" w:rsidR="00196BDC" w:rsidRPr="004A5FFC" w:rsidRDefault="00196BDC" w:rsidP="0066515B">
      <w:pPr>
        <w:spacing w:after="0" w:line="240" w:lineRule="auto"/>
        <w:ind w:firstLine="720"/>
        <w:jc w:val="both"/>
        <w:rPr>
          <w:rFonts w:ascii="Cambria" w:hAnsi="Cambria" w:cs="Times New Roman"/>
        </w:rPr>
      </w:pPr>
    </w:p>
    <w:p w14:paraId="5B66BDE8" w14:textId="77777777" w:rsidR="0066515B" w:rsidRPr="0066515B" w:rsidRDefault="0066515B" w:rsidP="0066515B">
      <w:pPr>
        <w:spacing w:after="0" w:line="240" w:lineRule="auto"/>
        <w:ind w:firstLine="720"/>
        <w:jc w:val="both"/>
        <w:rPr>
          <w:rFonts w:ascii="Cambria" w:eastAsia="Candara" w:hAnsi="Cambria" w:cs="Times New Roman"/>
        </w:rPr>
      </w:pPr>
    </w:p>
    <w:p w14:paraId="59E04F38" w14:textId="52DA20F3" w:rsidR="00C72575" w:rsidRPr="00F03C4C" w:rsidRDefault="00FA4AE5" w:rsidP="00F03C4C">
      <w:pPr>
        <w:pStyle w:val="Heading1"/>
        <w:spacing w:before="0" w:after="120" w:line="240" w:lineRule="auto"/>
        <w:rPr>
          <w:rFonts w:ascii="Cambria" w:eastAsia="Cambria" w:hAnsi="Cambria" w:cs="Cambria"/>
          <w:b/>
          <w:color w:val="000000"/>
          <w:sz w:val="28"/>
          <w:szCs w:val="28"/>
        </w:rPr>
      </w:pPr>
      <w:r w:rsidRPr="00F03C4C">
        <w:rPr>
          <w:rFonts w:ascii="Cambria" w:eastAsia="Cambria" w:hAnsi="Cambria" w:cs="Cambria"/>
          <w:b/>
          <w:color w:val="000000"/>
          <w:sz w:val="28"/>
          <w:szCs w:val="28"/>
        </w:rPr>
        <w:t>Kesimpulan</w:t>
      </w:r>
    </w:p>
    <w:p w14:paraId="59E04F3B" w14:textId="34BB6468" w:rsidR="00C72575" w:rsidRPr="00005A64" w:rsidRDefault="0066515B" w:rsidP="00005A64">
      <w:pPr>
        <w:spacing w:after="0" w:line="240" w:lineRule="auto"/>
        <w:ind w:firstLine="720"/>
        <w:jc w:val="both"/>
        <w:rPr>
          <w:rFonts w:ascii="Cambria" w:hAnsi="Cambria"/>
        </w:rPr>
      </w:pPr>
      <w:commentRangeStart w:id="20"/>
      <w:commentRangeStart w:id="21"/>
      <w:r w:rsidRPr="00005A64">
        <w:rPr>
          <w:rFonts w:ascii="Cambria" w:hAnsi="Cambria"/>
        </w:rPr>
        <w:t xml:space="preserve">Formula </w:t>
      </w:r>
      <w:proofErr w:type="spellStart"/>
      <w:r w:rsidRPr="00005A64">
        <w:rPr>
          <w:rFonts w:ascii="Cambria" w:hAnsi="Cambria"/>
        </w:rPr>
        <w:t>biskuit</w:t>
      </w:r>
      <w:proofErr w:type="spellEnd"/>
      <w:r w:rsidRPr="00005A64">
        <w:rPr>
          <w:rFonts w:ascii="Cambria" w:hAnsi="Cambria"/>
        </w:rPr>
        <w:t xml:space="preserve"> </w:t>
      </w:r>
      <w:proofErr w:type="spellStart"/>
      <w:r w:rsidRPr="00005A64">
        <w:rPr>
          <w:rFonts w:ascii="Cambria" w:hAnsi="Cambria"/>
        </w:rPr>
        <w:t>terpilih</w:t>
      </w:r>
      <w:proofErr w:type="spellEnd"/>
      <w:r w:rsidRPr="00005A64">
        <w:rPr>
          <w:rFonts w:ascii="Cambria" w:hAnsi="Cambria"/>
        </w:rPr>
        <w:t xml:space="preserve"> </w:t>
      </w:r>
      <w:proofErr w:type="spellStart"/>
      <w:r w:rsidRPr="00005A64">
        <w:rPr>
          <w:rFonts w:ascii="Cambria" w:hAnsi="Cambria"/>
        </w:rPr>
        <w:t>adalah</w:t>
      </w:r>
      <w:proofErr w:type="spellEnd"/>
      <w:r w:rsidRPr="00005A64">
        <w:rPr>
          <w:rFonts w:ascii="Cambria" w:hAnsi="Cambria"/>
        </w:rPr>
        <w:t xml:space="preserve"> </w:t>
      </w:r>
      <w:proofErr w:type="spellStart"/>
      <w:r w:rsidR="0063512D">
        <w:rPr>
          <w:rFonts w:ascii="Cambria" w:hAnsi="Cambria"/>
        </w:rPr>
        <w:t>biskuit</w:t>
      </w:r>
      <w:proofErr w:type="spellEnd"/>
      <w:r w:rsidRPr="00005A64">
        <w:rPr>
          <w:rFonts w:ascii="Cambria" w:hAnsi="Cambria"/>
        </w:rPr>
        <w:t xml:space="preserve"> F2 </w:t>
      </w:r>
      <w:proofErr w:type="spellStart"/>
      <w:r w:rsidRPr="00005A64">
        <w:rPr>
          <w:rFonts w:ascii="Cambria" w:hAnsi="Cambria"/>
        </w:rPr>
        <w:t>dengan</w:t>
      </w:r>
      <w:proofErr w:type="spellEnd"/>
      <w:r w:rsidRPr="00005A64">
        <w:rPr>
          <w:rFonts w:ascii="Cambria" w:hAnsi="Cambria"/>
        </w:rPr>
        <w:t xml:space="preserve"> </w:t>
      </w:r>
      <w:proofErr w:type="spellStart"/>
      <w:r w:rsidRPr="00005A64">
        <w:rPr>
          <w:rFonts w:ascii="Cambria" w:hAnsi="Cambria"/>
        </w:rPr>
        <w:t>pencampuran</w:t>
      </w:r>
      <w:proofErr w:type="spellEnd"/>
      <w:r w:rsidRPr="00005A64">
        <w:rPr>
          <w:rFonts w:ascii="Cambria" w:hAnsi="Cambria"/>
        </w:rPr>
        <w:t xml:space="preserve"> </w:t>
      </w:r>
      <w:proofErr w:type="spellStart"/>
      <w:r w:rsidRPr="00005A64">
        <w:rPr>
          <w:rFonts w:ascii="Cambria" w:hAnsi="Cambria"/>
        </w:rPr>
        <w:t>tepung</w:t>
      </w:r>
      <w:proofErr w:type="spellEnd"/>
      <w:r w:rsidRPr="00005A64">
        <w:rPr>
          <w:rFonts w:ascii="Cambria" w:hAnsi="Cambria"/>
        </w:rPr>
        <w:t xml:space="preserve"> ubi </w:t>
      </w:r>
      <w:proofErr w:type="spellStart"/>
      <w:r w:rsidRPr="00005A64">
        <w:rPr>
          <w:rFonts w:ascii="Cambria" w:hAnsi="Cambria"/>
        </w:rPr>
        <w:t>ungu</w:t>
      </w:r>
      <w:proofErr w:type="spellEnd"/>
      <w:r w:rsidRPr="00005A64">
        <w:rPr>
          <w:rFonts w:ascii="Cambria" w:hAnsi="Cambria"/>
        </w:rPr>
        <w:t xml:space="preserve"> </w:t>
      </w:r>
      <w:proofErr w:type="spellStart"/>
      <w:r w:rsidRPr="00005A64">
        <w:rPr>
          <w:rFonts w:ascii="Cambria" w:hAnsi="Cambria"/>
        </w:rPr>
        <w:t>sebanyak</w:t>
      </w:r>
      <w:proofErr w:type="spellEnd"/>
      <w:r w:rsidRPr="00005A64">
        <w:rPr>
          <w:rFonts w:ascii="Cambria" w:hAnsi="Cambria"/>
        </w:rPr>
        <w:t xml:space="preserve"> 50%</w:t>
      </w:r>
      <w:r w:rsidR="00005A64">
        <w:rPr>
          <w:rFonts w:ascii="Cambria" w:hAnsi="Cambria"/>
        </w:rPr>
        <w:t xml:space="preserve"> </w:t>
      </w:r>
      <w:proofErr w:type="spellStart"/>
      <w:r w:rsidR="00005A64">
        <w:rPr>
          <w:rFonts w:ascii="Cambria" w:hAnsi="Cambria"/>
        </w:rPr>
        <w:t>dari</w:t>
      </w:r>
      <w:proofErr w:type="spellEnd"/>
      <w:r w:rsidR="00005A64">
        <w:rPr>
          <w:rFonts w:ascii="Cambria" w:hAnsi="Cambria"/>
        </w:rPr>
        <w:t xml:space="preserve"> total </w:t>
      </w:r>
      <w:proofErr w:type="spellStart"/>
      <w:r w:rsidR="00005A64">
        <w:rPr>
          <w:rFonts w:ascii="Cambria" w:hAnsi="Cambria"/>
        </w:rPr>
        <w:t>tepung</w:t>
      </w:r>
      <w:proofErr w:type="spellEnd"/>
      <w:r w:rsidRPr="00005A64">
        <w:rPr>
          <w:rFonts w:ascii="Cambria" w:hAnsi="Cambria"/>
        </w:rPr>
        <w:t xml:space="preserve">. </w:t>
      </w:r>
      <w:proofErr w:type="spellStart"/>
      <w:r w:rsidR="00473A60">
        <w:rPr>
          <w:rFonts w:ascii="Cambria" w:hAnsi="Cambria"/>
        </w:rPr>
        <w:t>Bis</w:t>
      </w:r>
      <w:r w:rsidR="00196DC5">
        <w:rPr>
          <w:rFonts w:ascii="Cambria" w:hAnsi="Cambria"/>
        </w:rPr>
        <w:t>k</w:t>
      </w:r>
      <w:r w:rsidR="00473A60">
        <w:rPr>
          <w:rFonts w:ascii="Cambria" w:hAnsi="Cambria"/>
        </w:rPr>
        <w:t>uit</w:t>
      </w:r>
      <w:proofErr w:type="spellEnd"/>
      <w:r w:rsidR="00473A60">
        <w:rPr>
          <w:rFonts w:ascii="Cambria" w:hAnsi="Cambria"/>
        </w:rPr>
        <w:t xml:space="preserve"> </w:t>
      </w:r>
      <w:proofErr w:type="spellStart"/>
      <w:r w:rsidR="00473A60">
        <w:rPr>
          <w:rFonts w:ascii="Cambria" w:hAnsi="Cambria"/>
        </w:rPr>
        <w:t>rempah</w:t>
      </w:r>
      <w:proofErr w:type="spellEnd"/>
      <w:r w:rsidR="00196DC5">
        <w:rPr>
          <w:rFonts w:ascii="Cambria" w:hAnsi="Cambria"/>
        </w:rPr>
        <w:t xml:space="preserve"> F2 </w:t>
      </w:r>
      <w:proofErr w:type="spellStart"/>
      <w:r w:rsidR="00196DC5">
        <w:rPr>
          <w:rFonts w:ascii="Cambria" w:hAnsi="Cambria"/>
        </w:rPr>
        <w:t>memiliki</w:t>
      </w:r>
      <w:proofErr w:type="spellEnd"/>
      <w:r w:rsidR="00196DC5">
        <w:rPr>
          <w:rFonts w:ascii="Cambria" w:hAnsi="Cambria"/>
        </w:rPr>
        <w:t xml:space="preserve"> </w:t>
      </w:r>
      <w:proofErr w:type="spellStart"/>
      <w:r w:rsidR="00196DC5">
        <w:rPr>
          <w:rFonts w:ascii="Cambria" w:hAnsi="Cambria" w:cs="Times New Roman"/>
        </w:rPr>
        <w:t>k</w:t>
      </w:r>
      <w:r w:rsidR="00196DC5" w:rsidRPr="001C2FE5">
        <w:rPr>
          <w:rFonts w:ascii="Cambria" w:hAnsi="Cambria" w:cs="Times New Roman"/>
        </w:rPr>
        <w:t>andungan</w:t>
      </w:r>
      <w:proofErr w:type="spellEnd"/>
      <w:r w:rsidR="00196DC5" w:rsidRPr="001C2FE5">
        <w:rPr>
          <w:rFonts w:ascii="Cambria" w:hAnsi="Cambria" w:cs="Times New Roman"/>
        </w:rPr>
        <w:t xml:space="preserve"> </w:t>
      </w:r>
      <w:proofErr w:type="spellStart"/>
      <w:r w:rsidR="00196DC5" w:rsidRPr="001C2FE5">
        <w:rPr>
          <w:rFonts w:ascii="Cambria" w:hAnsi="Cambria" w:cs="Times New Roman"/>
        </w:rPr>
        <w:t>antioksidan</w:t>
      </w:r>
      <w:proofErr w:type="spellEnd"/>
      <w:r w:rsidR="00196DC5">
        <w:rPr>
          <w:rFonts w:ascii="Cambria" w:hAnsi="Cambria" w:cs="Times New Roman"/>
        </w:rPr>
        <w:t xml:space="preserve"> </w:t>
      </w:r>
      <w:proofErr w:type="spellStart"/>
      <w:r w:rsidR="00196DC5" w:rsidRPr="001C2FE5">
        <w:rPr>
          <w:rFonts w:ascii="Cambria" w:hAnsi="Cambria" w:cs="Times New Roman"/>
        </w:rPr>
        <w:t>sebesar</w:t>
      </w:r>
      <w:proofErr w:type="spellEnd"/>
      <w:r w:rsidR="00196DC5" w:rsidRPr="001C2FE5">
        <w:rPr>
          <w:rFonts w:ascii="Cambria" w:hAnsi="Cambria" w:cs="Times New Roman"/>
        </w:rPr>
        <w:t xml:space="preserve"> 1374.8</w:t>
      </w:r>
      <w:r w:rsidR="00196DC5">
        <w:rPr>
          <w:rFonts w:ascii="Cambria" w:hAnsi="Cambria" w:cs="Times New Roman"/>
        </w:rPr>
        <w:t xml:space="preserve">mg </w:t>
      </w:r>
      <w:r w:rsidR="00196DC5" w:rsidRPr="001C2FE5">
        <w:rPr>
          <w:rFonts w:ascii="Cambria" w:hAnsi="Cambria" w:cs="Times New Roman"/>
        </w:rPr>
        <w:t>per 100gram</w:t>
      </w:r>
      <w:r w:rsidR="00473A60">
        <w:rPr>
          <w:rFonts w:ascii="Cambria" w:hAnsi="Cambria"/>
        </w:rPr>
        <w:t xml:space="preserve"> </w:t>
      </w:r>
      <w:r w:rsidR="00196DC5">
        <w:rPr>
          <w:rFonts w:ascii="Cambria" w:hAnsi="Cambria"/>
        </w:rPr>
        <w:t xml:space="preserve">dan </w:t>
      </w:r>
      <w:proofErr w:type="spellStart"/>
      <w:r w:rsidR="00473A60">
        <w:rPr>
          <w:rFonts w:ascii="Cambria" w:hAnsi="Cambria"/>
        </w:rPr>
        <w:t>dapat</w:t>
      </w:r>
      <w:proofErr w:type="spellEnd"/>
      <w:r w:rsidR="00473A60">
        <w:rPr>
          <w:rFonts w:ascii="Cambria" w:hAnsi="Cambria"/>
        </w:rPr>
        <w:t xml:space="preserve"> </w:t>
      </w:r>
      <w:proofErr w:type="spellStart"/>
      <w:r w:rsidR="00473A60">
        <w:rPr>
          <w:rFonts w:ascii="Cambria" w:hAnsi="Cambria"/>
        </w:rPr>
        <w:t>dikonsumsi</w:t>
      </w:r>
      <w:proofErr w:type="spellEnd"/>
      <w:r w:rsidR="00473A60">
        <w:rPr>
          <w:rFonts w:ascii="Cambria" w:hAnsi="Cambria"/>
        </w:rPr>
        <w:t xml:space="preserve"> </w:t>
      </w:r>
      <w:proofErr w:type="spellStart"/>
      <w:r w:rsidR="00473A60">
        <w:rPr>
          <w:rFonts w:ascii="Cambria" w:hAnsi="Cambria"/>
        </w:rPr>
        <w:t>sebagai</w:t>
      </w:r>
      <w:proofErr w:type="spellEnd"/>
      <w:r w:rsidR="00473A60">
        <w:rPr>
          <w:rFonts w:ascii="Cambria" w:hAnsi="Cambria"/>
        </w:rPr>
        <w:t xml:space="preserve"> </w:t>
      </w:r>
      <w:proofErr w:type="spellStart"/>
      <w:r w:rsidR="00473A60">
        <w:rPr>
          <w:rFonts w:ascii="Cambria" w:hAnsi="Cambria"/>
        </w:rPr>
        <w:t>pangan</w:t>
      </w:r>
      <w:proofErr w:type="spellEnd"/>
      <w:r w:rsidR="00473A60">
        <w:rPr>
          <w:rFonts w:ascii="Cambria" w:hAnsi="Cambria"/>
        </w:rPr>
        <w:t xml:space="preserve"> </w:t>
      </w:r>
      <w:proofErr w:type="spellStart"/>
      <w:r w:rsidR="00473A60">
        <w:rPr>
          <w:rFonts w:ascii="Cambria" w:hAnsi="Cambria"/>
        </w:rPr>
        <w:t>fungsional</w:t>
      </w:r>
      <w:proofErr w:type="spellEnd"/>
      <w:r w:rsidR="00473A60">
        <w:rPr>
          <w:rFonts w:ascii="Cambria" w:hAnsi="Cambria"/>
        </w:rPr>
        <w:t xml:space="preserve"> </w:t>
      </w:r>
      <w:proofErr w:type="spellStart"/>
      <w:r w:rsidR="00473A60">
        <w:rPr>
          <w:rFonts w:ascii="Cambria" w:hAnsi="Cambria"/>
        </w:rPr>
        <w:t>tinggi</w:t>
      </w:r>
      <w:proofErr w:type="spellEnd"/>
      <w:r w:rsidR="00473A60">
        <w:rPr>
          <w:rFonts w:ascii="Cambria" w:hAnsi="Cambria"/>
        </w:rPr>
        <w:t xml:space="preserve"> </w:t>
      </w:r>
      <w:proofErr w:type="spellStart"/>
      <w:r w:rsidR="00473A60">
        <w:rPr>
          <w:rFonts w:ascii="Cambria" w:hAnsi="Cambria"/>
        </w:rPr>
        <w:t>antioksidan</w:t>
      </w:r>
      <w:proofErr w:type="spellEnd"/>
      <w:r w:rsidR="00473A60">
        <w:rPr>
          <w:rFonts w:ascii="Cambria" w:hAnsi="Cambria"/>
        </w:rPr>
        <w:t xml:space="preserve"> </w:t>
      </w:r>
      <w:proofErr w:type="spellStart"/>
      <w:r w:rsidR="00473A60">
        <w:rPr>
          <w:rFonts w:ascii="Cambria" w:hAnsi="Cambria"/>
        </w:rPr>
        <w:t>dengan</w:t>
      </w:r>
      <w:proofErr w:type="spellEnd"/>
      <w:r w:rsidR="00473A60">
        <w:rPr>
          <w:rFonts w:ascii="Cambria" w:hAnsi="Cambria"/>
        </w:rPr>
        <w:t xml:space="preserve"> </w:t>
      </w:r>
      <w:proofErr w:type="spellStart"/>
      <w:r w:rsidR="00473A60">
        <w:rPr>
          <w:rFonts w:ascii="Cambria" w:hAnsi="Cambria"/>
        </w:rPr>
        <w:t>takaran</w:t>
      </w:r>
      <w:proofErr w:type="spellEnd"/>
      <w:r w:rsidR="00473A60">
        <w:rPr>
          <w:rFonts w:ascii="Cambria" w:hAnsi="Cambria"/>
        </w:rPr>
        <w:t xml:space="preserve"> </w:t>
      </w:r>
      <w:proofErr w:type="spellStart"/>
      <w:r w:rsidR="00473A60">
        <w:rPr>
          <w:rFonts w:ascii="Cambria" w:hAnsi="Cambria"/>
        </w:rPr>
        <w:t>saji</w:t>
      </w:r>
      <w:proofErr w:type="spellEnd"/>
      <w:r w:rsidR="00473A60">
        <w:rPr>
          <w:rFonts w:ascii="Cambria" w:hAnsi="Cambria"/>
        </w:rPr>
        <w:t xml:space="preserve"> 25 g/</w:t>
      </w:r>
      <w:proofErr w:type="spellStart"/>
      <w:r w:rsidR="00473A60">
        <w:rPr>
          <w:rFonts w:ascii="Cambria" w:hAnsi="Cambria"/>
        </w:rPr>
        <w:t>hari</w:t>
      </w:r>
      <w:proofErr w:type="spellEnd"/>
      <w:r w:rsidR="00473A60">
        <w:rPr>
          <w:rFonts w:ascii="Cambria" w:hAnsi="Cambria"/>
        </w:rPr>
        <w:t xml:space="preserve">. </w:t>
      </w:r>
      <w:r w:rsidR="00005A64" w:rsidRPr="00005A64">
        <w:rPr>
          <w:rFonts w:ascii="Cambria" w:hAnsi="Cambria"/>
        </w:rPr>
        <w:t xml:space="preserve">Formula </w:t>
      </w:r>
      <w:proofErr w:type="spellStart"/>
      <w:r w:rsidR="0063512D">
        <w:rPr>
          <w:rFonts w:ascii="Cambria" w:hAnsi="Cambria"/>
        </w:rPr>
        <w:t>biskuit</w:t>
      </w:r>
      <w:proofErr w:type="spellEnd"/>
      <w:r w:rsidR="00005A64" w:rsidRPr="00005A64">
        <w:rPr>
          <w:rFonts w:ascii="Cambria" w:hAnsi="Cambria"/>
        </w:rPr>
        <w:t xml:space="preserve"> </w:t>
      </w:r>
      <w:proofErr w:type="spellStart"/>
      <w:r w:rsidR="00005A64" w:rsidRPr="00005A64">
        <w:rPr>
          <w:rFonts w:ascii="Cambria" w:hAnsi="Cambria"/>
        </w:rPr>
        <w:t>dari</w:t>
      </w:r>
      <w:proofErr w:type="spellEnd"/>
      <w:r w:rsidR="00005A64" w:rsidRPr="00005A64">
        <w:rPr>
          <w:rFonts w:ascii="Cambria" w:hAnsi="Cambria"/>
        </w:rPr>
        <w:t xml:space="preserve"> ubi </w:t>
      </w:r>
      <w:proofErr w:type="spellStart"/>
      <w:r w:rsidR="00005A64" w:rsidRPr="00005A64">
        <w:rPr>
          <w:rFonts w:ascii="Cambria" w:hAnsi="Cambria"/>
        </w:rPr>
        <w:t>jalar</w:t>
      </w:r>
      <w:proofErr w:type="spellEnd"/>
      <w:r w:rsidR="00005A64" w:rsidRPr="00005A64">
        <w:rPr>
          <w:rFonts w:ascii="Cambria" w:hAnsi="Cambria"/>
        </w:rPr>
        <w:t xml:space="preserve"> </w:t>
      </w:r>
      <w:proofErr w:type="spellStart"/>
      <w:r w:rsidR="00005A64" w:rsidRPr="00005A64">
        <w:rPr>
          <w:rFonts w:ascii="Cambria" w:hAnsi="Cambria"/>
        </w:rPr>
        <w:t>ungu</w:t>
      </w:r>
      <w:proofErr w:type="spellEnd"/>
      <w:r w:rsidR="00005A64" w:rsidRPr="00005A64">
        <w:rPr>
          <w:rFonts w:ascii="Cambria" w:hAnsi="Cambria"/>
        </w:rPr>
        <w:t xml:space="preserve"> dan </w:t>
      </w:r>
      <w:proofErr w:type="spellStart"/>
      <w:r w:rsidR="00196BDC">
        <w:rPr>
          <w:rFonts w:ascii="Cambria" w:hAnsi="Cambria"/>
        </w:rPr>
        <w:t>rempah-rempah</w:t>
      </w:r>
      <w:proofErr w:type="spellEnd"/>
      <w:r w:rsidR="00005A64" w:rsidRPr="00005A64">
        <w:rPr>
          <w:rFonts w:ascii="Cambria" w:hAnsi="Cambria"/>
        </w:rPr>
        <w:t xml:space="preserve"> sangat </w:t>
      </w:r>
      <w:proofErr w:type="spellStart"/>
      <w:r w:rsidR="00005A64" w:rsidRPr="00005A64">
        <w:rPr>
          <w:rFonts w:ascii="Cambria" w:hAnsi="Cambria"/>
        </w:rPr>
        <w:t>berpotensi</w:t>
      </w:r>
      <w:proofErr w:type="spellEnd"/>
      <w:r w:rsidR="00005A64" w:rsidRPr="00005A64">
        <w:rPr>
          <w:rFonts w:ascii="Cambria" w:hAnsi="Cambria"/>
        </w:rPr>
        <w:t xml:space="preserve"> </w:t>
      </w:r>
      <w:proofErr w:type="spellStart"/>
      <w:r w:rsidR="00005A64" w:rsidRPr="00005A64">
        <w:rPr>
          <w:rFonts w:ascii="Cambria" w:hAnsi="Cambria"/>
        </w:rPr>
        <w:t>untuk</w:t>
      </w:r>
      <w:proofErr w:type="spellEnd"/>
      <w:r w:rsidR="00005A64" w:rsidRPr="00005A64">
        <w:rPr>
          <w:rFonts w:ascii="Cambria" w:hAnsi="Cambria"/>
        </w:rPr>
        <w:t xml:space="preserve"> </w:t>
      </w:r>
      <w:proofErr w:type="spellStart"/>
      <w:r w:rsidR="00005A64" w:rsidRPr="00005A64">
        <w:rPr>
          <w:rFonts w:ascii="Cambria" w:hAnsi="Cambria"/>
        </w:rPr>
        <w:t>dikembangkan</w:t>
      </w:r>
      <w:proofErr w:type="spellEnd"/>
      <w:r w:rsidR="00005A64" w:rsidRPr="00005A64">
        <w:rPr>
          <w:rFonts w:ascii="Cambria" w:hAnsi="Cambria"/>
        </w:rPr>
        <w:t xml:space="preserve"> </w:t>
      </w:r>
      <w:proofErr w:type="spellStart"/>
      <w:r w:rsidR="00005A64" w:rsidRPr="00005A64">
        <w:rPr>
          <w:rFonts w:ascii="Cambria" w:hAnsi="Cambria"/>
        </w:rPr>
        <w:t>sebagai</w:t>
      </w:r>
      <w:proofErr w:type="spellEnd"/>
      <w:r w:rsidR="00005A64" w:rsidRPr="00005A64">
        <w:rPr>
          <w:rFonts w:ascii="Cambria" w:hAnsi="Cambria"/>
        </w:rPr>
        <w:t xml:space="preserve"> </w:t>
      </w:r>
      <w:proofErr w:type="spellStart"/>
      <w:r w:rsidR="00005A64" w:rsidRPr="00005A64">
        <w:rPr>
          <w:rFonts w:ascii="Cambria" w:hAnsi="Cambria"/>
        </w:rPr>
        <w:t>alternatif</w:t>
      </w:r>
      <w:proofErr w:type="spellEnd"/>
      <w:r w:rsidR="00005A64" w:rsidRPr="00005A64">
        <w:rPr>
          <w:rFonts w:ascii="Cambria" w:hAnsi="Cambria"/>
        </w:rPr>
        <w:t xml:space="preserve"> </w:t>
      </w:r>
      <w:proofErr w:type="spellStart"/>
      <w:r w:rsidR="00005A64" w:rsidRPr="00005A64">
        <w:rPr>
          <w:rFonts w:ascii="Cambria" w:hAnsi="Cambria"/>
        </w:rPr>
        <w:t>pangan</w:t>
      </w:r>
      <w:proofErr w:type="spellEnd"/>
      <w:r w:rsidR="00005A64" w:rsidRPr="00005A64">
        <w:rPr>
          <w:rFonts w:ascii="Cambria" w:hAnsi="Cambria"/>
        </w:rPr>
        <w:t xml:space="preserve"> </w:t>
      </w:r>
      <w:proofErr w:type="spellStart"/>
      <w:r w:rsidR="00005A64" w:rsidRPr="00005A64">
        <w:rPr>
          <w:rFonts w:ascii="Cambria" w:hAnsi="Cambria"/>
        </w:rPr>
        <w:t>fungsional</w:t>
      </w:r>
      <w:proofErr w:type="spellEnd"/>
      <w:r w:rsidR="00005A64" w:rsidRPr="00005A64">
        <w:rPr>
          <w:rFonts w:ascii="Cambria" w:hAnsi="Cambria"/>
        </w:rPr>
        <w:t xml:space="preserve"> </w:t>
      </w:r>
      <w:proofErr w:type="spellStart"/>
      <w:r w:rsidR="00005A64" w:rsidRPr="00005A64">
        <w:rPr>
          <w:rFonts w:ascii="Cambria" w:hAnsi="Cambria"/>
        </w:rPr>
        <w:t>pencegah</w:t>
      </w:r>
      <w:proofErr w:type="spellEnd"/>
      <w:r w:rsidR="00005A64" w:rsidRPr="00005A64">
        <w:rPr>
          <w:rFonts w:ascii="Cambria" w:hAnsi="Cambria"/>
        </w:rPr>
        <w:t xml:space="preserve"> </w:t>
      </w:r>
      <w:proofErr w:type="spellStart"/>
      <w:r w:rsidR="00005A64" w:rsidRPr="00005A64">
        <w:rPr>
          <w:rFonts w:ascii="Cambria" w:hAnsi="Cambria"/>
        </w:rPr>
        <w:t>infeksi</w:t>
      </w:r>
      <w:proofErr w:type="spellEnd"/>
      <w:r w:rsidR="00005A64" w:rsidRPr="00005A64">
        <w:rPr>
          <w:rFonts w:ascii="Cambria" w:hAnsi="Cambria"/>
        </w:rPr>
        <w:t xml:space="preserve"> covid-19.</w:t>
      </w:r>
      <w:commentRangeEnd w:id="20"/>
      <w:r w:rsidR="005259FA">
        <w:rPr>
          <w:rStyle w:val="CommentReference"/>
        </w:rPr>
        <w:commentReference w:id="20"/>
      </w:r>
      <w:commentRangeEnd w:id="21"/>
      <w:r w:rsidR="00DF3C03">
        <w:rPr>
          <w:rStyle w:val="CommentReference"/>
        </w:rPr>
        <w:commentReference w:id="21"/>
      </w:r>
      <w:r w:rsidR="00C05CE5">
        <w:rPr>
          <w:rFonts w:ascii="Cambria" w:hAnsi="Cambria"/>
        </w:rPr>
        <w:t xml:space="preserve"> Saran </w:t>
      </w:r>
      <w:proofErr w:type="spellStart"/>
      <w:r w:rsidR="00C05CE5">
        <w:rPr>
          <w:rFonts w:ascii="Cambria" w:hAnsi="Cambria"/>
        </w:rPr>
        <w:t>untuk</w:t>
      </w:r>
      <w:proofErr w:type="spellEnd"/>
      <w:r w:rsidR="00C05CE5">
        <w:rPr>
          <w:rFonts w:ascii="Cambria" w:hAnsi="Cambria"/>
        </w:rPr>
        <w:t xml:space="preserve"> </w:t>
      </w:r>
      <w:proofErr w:type="spellStart"/>
      <w:r w:rsidR="00C05CE5">
        <w:rPr>
          <w:rFonts w:ascii="Cambria" w:hAnsi="Cambria"/>
        </w:rPr>
        <w:t>penelitian</w:t>
      </w:r>
      <w:proofErr w:type="spellEnd"/>
      <w:r w:rsidR="00C05CE5">
        <w:rPr>
          <w:rFonts w:ascii="Cambria" w:hAnsi="Cambria"/>
        </w:rPr>
        <w:t xml:space="preserve"> </w:t>
      </w:r>
      <w:proofErr w:type="spellStart"/>
      <w:r w:rsidR="00C05CE5">
        <w:rPr>
          <w:rFonts w:ascii="Cambria" w:hAnsi="Cambria"/>
        </w:rPr>
        <w:t>selanjutnya</w:t>
      </w:r>
      <w:proofErr w:type="spellEnd"/>
      <w:r w:rsidR="00C05CE5">
        <w:rPr>
          <w:rFonts w:ascii="Cambria" w:hAnsi="Cambria"/>
        </w:rPr>
        <w:t xml:space="preserve"> </w:t>
      </w:r>
      <w:proofErr w:type="spellStart"/>
      <w:r w:rsidR="00C05CE5">
        <w:rPr>
          <w:rFonts w:ascii="Cambria" w:hAnsi="Cambria"/>
        </w:rPr>
        <w:t>dapat</w:t>
      </w:r>
      <w:proofErr w:type="spellEnd"/>
      <w:r w:rsidR="00C05CE5">
        <w:rPr>
          <w:rFonts w:ascii="Cambria" w:hAnsi="Cambria"/>
        </w:rPr>
        <w:t xml:space="preserve"> </w:t>
      </w:r>
      <w:proofErr w:type="spellStart"/>
      <w:r w:rsidR="00C05CE5">
        <w:rPr>
          <w:rFonts w:ascii="Cambria" w:hAnsi="Cambria"/>
        </w:rPr>
        <w:t>dilakukan</w:t>
      </w:r>
      <w:proofErr w:type="spellEnd"/>
      <w:r w:rsidR="00C05CE5">
        <w:rPr>
          <w:rFonts w:ascii="Cambria" w:hAnsi="Cambria"/>
        </w:rPr>
        <w:t xml:space="preserve"> </w:t>
      </w:r>
      <w:proofErr w:type="spellStart"/>
      <w:r w:rsidR="00723B01">
        <w:rPr>
          <w:rFonts w:ascii="Cambria" w:hAnsi="Cambria"/>
        </w:rPr>
        <w:t>penambahan</w:t>
      </w:r>
      <w:proofErr w:type="spellEnd"/>
      <w:r w:rsidR="00723B01">
        <w:rPr>
          <w:rFonts w:ascii="Cambria" w:hAnsi="Cambria"/>
        </w:rPr>
        <w:t xml:space="preserve"> </w:t>
      </w:r>
      <w:proofErr w:type="spellStart"/>
      <w:r w:rsidR="00723B01">
        <w:rPr>
          <w:rFonts w:ascii="Cambria" w:hAnsi="Cambria"/>
        </w:rPr>
        <w:t>bahan</w:t>
      </w:r>
      <w:proofErr w:type="spellEnd"/>
      <w:r w:rsidR="00723B01">
        <w:rPr>
          <w:rFonts w:ascii="Cambria" w:hAnsi="Cambria"/>
        </w:rPr>
        <w:t xml:space="preserve"> lain yang </w:t>
      </w:r>
      <w:proofErr w:type="spellStart"/>
      <w:r w:rsidR="00723B01">
        <w:rPr>
          <w:rFonts w:ascii="Cambria" w:hAnsi="Cambria"/>
        </w:rPr>
        <w:t>dapat</w:t>
      </w:r>
      <w:proofErr w:type="spellEnd"/>
      <w:r w:rsidR="00723B01">
        <w:rPr>
          <w:rFonts w:ascii="Cambria" w:hAnsi="Cambria"/>
        </w:rPr>
        <w:t xml:space="preserve"> </w:t>
      </w:r>
      <w:proofErr w:type="spellStart"/>
      <w:r w:rsidR="00723B01">
        <w:rPr>
          <w:rFonts w:ascii="Cambria" w:hAnsi="Cambria"/>
        </w:rPr>
        <w:t>meningkatkan</w:t>
      </w:r>
      <w:proofErr w:type="spellEnd"/>
      <w:r w:rsidR="00723B01">
        <w:rPr>
          <w:rFonts w:ascii="Cambria" w:hAnsi="Cambria"/>
        </w:rPr>
        <w:t xml:space="preserve"> rasa </w:t>
      </w:r>
      <w:proofErr w:type="spellStart"/>
      <w:r w:rsidR="00723B01">
        <w:rPr>
          <w:rFonts w:ascii="Cambria" w:hAnsi="Cambria"/>
        </w:rPr>
        <w:t>manis</w:t>
      </w:r>
      <w:proofErr w:type="spellEnd"/>
      <w:r w:rsidR="00723B01">
        <w:rPr>
          <w:rFonts w:ascii="Cambria" w:hAnsi="Cambria"/>
        </w:rPr>
        <w:t xml:space="preserve"> </w:t>
      </w:r>
      <w:proofErr w:type="spellStart"/>
      <w:r w:rsidR="00723B01">
        <w:rPr>
          <w:rFonts w:ascii="Cambria" w:hAnsi="Cambria"/>
        </w:rPr>
        <w:t>karena</w:t>
      </w:r>
      <w:proofErr w:type="spellEnd"/>
      <w:r w:rsidR="00723B01">
        <w:rPr>
          <w:rFonts w:ascii="Cambria" w:hAnsi="Cambria"/>
        </w:rPr>
        <w:t xml:space="preserve"> </w:t>
      </w:r>
      <w:proofErr w:type="spellStart"/>
      <w:r w:rsidR="00723B01">
        <w:rPr>
          <w:rFonts w:ascii="Cambria" w:hAnsi="Cambria"/>
        </w:rPr>
        <w:t>beberapa</w:t>
      </w:r>
      <w:proofErr w:type="spellEnd"/>
      <w:r w:rsidR="00723B01">
        <w:rPr>
          <w:rFonts w:ascii="Cambria" w:hAnsi="Cambria"/>
        </w:rPr>
        <w:t xml:space="preserve"> </w:t>
      </w:r>
      <w:proofErr w:type="spellStart"/>
      <w:r w:rsidR="00723B01">
        <w:rPr>
          <w:rFonts w:ascii="Cambria" w:hAnsi="Cambria"/>
        </w:rPr>
        <w:t>komentar</w:t>
      </w:r>
      <w:proofErr w:type="spellEnd"/>
      <w:r w:rsidR="00723B01">
        <w:rPr>
          <w:rFonts w:ascii="Cambria" w:hAnsi="Cambria"/>
        </w:rPr>
        <w:t xml:space="preserve"> </w:t>
      </w:r>
      <w:proofErr w:type="spellStart"/>
      <w:r w:rsidR="00723B01">
        <w:rPr>
          <w:rFonts w:ascii="Cambria" w:hAnsi="Cambria"/>
        </w:rPr>
        <w:t>dari</w:t>
      </w:r>
      <w:proofErr w:type="spellEnd"/>
      <w:r w:rsidR="00723B01">
        <w:rPr>
          <w:rFonts w:ascii="Cambria" w:hAnsi="Cambria"/>
        </w:rPr>
        <w:t xml:space="preserve"> </w:t>
      </w:r>
      <w:proofErr w:type="spellStart"/>
      <w:r w:rsidR="00723B01">
        <w:rPr>
          <w:rFonts w:ascii="Cambria" w:hAnsi="Cambria"/>
        </w:rPr>
        <w:t>panelis</w:t>
      </w:r>
      <w:proofErr w:type="spellEnd"/>
      <w:r w:rsidR="00723B01">
        <w:rPr>
          <w:rFonts w:ascii="Cambria" w:hAnsi="Cambria"/>
        </w:rPr>
        <w:t xml:space="preserve"> </w:t>
      </w:r>
      <w:proofErr w:type="spellStart"/>
      <w:r w:rsidR="00723B01">
        <w:rPr>
          <w:rFonts w:ascii="Cambria" w:hAnsi="Cambria"/>
        </w:rPr>
        <w:t>menyatakan</w:t>
      </w:r>
      <w:proofErr w:type="spellEnd"/>
      <w:r w:rsidR="00723B01">
        <w:rPr>
          <w:rFonts w:ascii="Cambria" w:hAnsi="Cambria"/>
        </w:rPr>
        <w:t xml:space="preserve"> </w:t>
      </w:r>
      <w:proofErr w:type="spellStart"/>
      <w:r w:rsidR="00723B01">
        <w:rPr>
          <w:rFonts w:ascii="Cambria" w:hAnsi="Cambria"/>
        </w:rPr>
        <w:t>bahwa</w:t>
      </w:r>
      <w:proofErr w:type="spellEnd"/>
      <w:r w:rsidR="00723B01">
        <w:rPr>
          <w:rFonts w:ascii="Cambria" w:hAnsi="Cambria"/>
        </w:rPr>
        <w:t xml:space="preserve"> rasa biscuit </w:t>
      </w:r>
      <w:proofErr w:type="spellStart"/>
      <w:r w:rsidR="00723B01">
        <w:rPr>
          <w:rFonts w:ascii="Cambria" w:hAnsi="Cambria"/>
        </w:rPr>
        <w:t>ini</w:t>
      </w:r>
      <w:proofErr w:type="spellEnd"/>
      <w:r w:rsidR="00723B01">
        <w:rPr>
          <w:rFonts w:ascii="Cambria" w:hAnsi="Cambria"/>
        </w:rPr>
        <w:t xml:space="preserve"> </w:t>
      </w:r>
      <w:proofErr w:type="spellStart"/>
      <w:r w:rsidR="00723B01">
        <w:rPr>
          <w:rFonts w:ascii="Cambria" w:hAnsi="Cambria"/>
        </w:rPr>
        <w:t>kurang</w:t>
      </w:r>
      <w:proofErr w:type="spellEnd"/>
      <w:r w:rsidR="00723B01">
        <w:rPr>
          <w:rFonts w:ascii="Cambria" w:hAnsi="Cambria"/>
        </w:rPr>
        <w:t xml:space="preserve"> </w:t>
      </w:r>
      <w:proofErr w:type="spellStart"/>
      <w:r w:rsidR="00723B01">
        <w:rPr>
          <w:rFonts w:ascii="Cambria" w:hAnsi="Cambria"/>
        </w:rPr>
        <w:t>manis</w:t>
      </w:r>
      <w:proofErr w:type="spellEnd"/>
      <w:r w:rsidR="00723B01">
        <w:rPr>
          <w:rFonts w:ascii="Cambria" w:hAnsi="Cambria"/>
        </w:rPr>
        <w:t>.</w:t>
      </w:r>
    </w:p>
    <w:p w14:paraId="37DCF040" w14:textId="77777777" w:rsidR="00CF5B8A" w:rsidRDefault="00CF5B8A">
      <w:pPr>
        <w:spacing w:after="0" w:line="240" w:lineRule="auto"/>
        <w:jc w:val="both"/>
        <w:rPr>
          <w:rFonts w:ascii="Cambria" w:eastAsia="Cambria" w:hAnsi="Cambria" w:cs="Cambria"/>
        </w:rPr>
      </w:pPr>
    </w:p>
    <w:p w14:paraId="59E04F3D" w14:textId="77777777" w:rsidR="00C72575" w:rsidRDefault="00FA4AE5">
      <w:pPr>
        <w:pStyle w:val="Heading1"/>
        <w:spacing w:before="0" w:after="120" w:line="240" w:lineRule="auto"/>
        <w:rPr>
          <w:rFonts w:ascii="Cambria" w:eastAsia="Cambria" w:hAnsi="Cambria" w:cs="Cambria"/>
          <w:b/>
          <w:color w:val="000000"/>
          <w:sz w:val="28"/>
          <w:szCs w:val="28"/>
        </w:rPr>
      </w:pPr>
      <w:proofErr w:type="spellStart"/>
      <w:r>
        <w:rPr>
          <w:rFonts w:ascii="Cambria" w:eastAsia="Cambria" w:hAnsi="Cambria" w:cs="Cambria"/>
          <w:b/>
          <w:color w:val="000000"/>
          <w:sz w:val="28"/>
          <w:szCs w:val="28"/>
        </w:rPr>
        <w:t>Ucapan</w:t>
      </w:r>
      <w:proofErr w:type="spellEnd"/>
      <w:r>
        <w:rPr>
          <w:rFonts w:ascii="Cambria" w:eastAsia="Cambria" w:hAnsi="Cambria" w:cs="Cambria"/>
          <w:b/>
          <w:color w:val="000000"/>
          <w:sz w:val="28"/>
          <w:szCs w:val="28"/>
        </w:rPr>
        <w:t xml:space="preserve"> </w:t>
      </w:r>
      <w:proofErr w:type="spellStart"/>
      <w:r>
        <w:rPr>
          <w:rFonts w:ascii="Cambria" w:eastAsia="Cambria" w:hAnsi="Cambria" w:cs="Cambria"/>
          <w:b/>
          <w:color w:val="000000"/>
          <w:sz w:val="28"/>
          <w:szCs w:val="28"/>
        </w:rPr>
        <w:t>Terima</w:t>
      </w:r>
      <w:proofErr w:type="spellEnd"/>
      <w:r>
        <w:rPr>
          <w:rFonts w:ascii="Cambria" w:eastAsia="Cambria" w:hAnsi="Cambria" w:cs="Cambria"/>
          <w:b/>
          <w:color w:val="000000"/>
          <w:sz w:val="28"/>
          <w:szCs w:val="28"/>
        </w:rPr>
        <w:t xml:space="preserve"> Kasih</w:t>
      </w:r>
    </w:p>
    <w:p w14:paraId="59E04F40" w14:textId="3F28B66A" w:rsidR="00C72575" w:rsidRDefault="00F03C4C">
      <w:pPr>
        <w:spacing w:after="0" w:line="240" w:lineRule="auto"/>
        <w:jc w:val="both"/>
        <w:rPr>
          <w:rFonts w:ascii="Cambria" w:eastAsia="Cambria" w:hAnsi="Cambria" w:cs="Cambria"/>
        </w:rPr>
      </w:pPr>
      <w:proofErr w:type="spellStart"/>
      <w:r>
        <w:rPr>
          <w:rFonts w:ascii="Cambria" w:eastAsia="Cambria" w:hAnsi="Cambria" w:cs="Cambria"/>
        </w:rPr>
        <w:t>Ucapan</w:t>
      </w:r>
      <w:proofErr w:type="spellEnd"/>
      <w:r>
        <w:rPr>
          <w:rFonts w:ascii="Cambria" w:eastAsia="Cambria" w:hAnsi="Cambria" w:cs="Cambria"/>
        </w:rPr>
        <w:t xml:space="preserve"> </w:t>
      </w:r>
      <w:proofErr w:type="spellStart"/>
      <w:r>
        <w:rPr>
          <w:rFonts w:ascii="Cambria" w:eastAsia="Cambria" w:hAnsi="Cambria" w:cs="Cambria"/>
        </w:rPr>
        <w:t>terima</w:t>
      </w:r>
      <w:proofErr w:type="spellEnd"/>
      <w:r>
        <w:rPr>
          <w:rFonts w:ascii="Cambria" w:eastAsia="Cambria" w:hAnsi="Cambria" w:cs="Cambria"/>
        </w:rPr>
        <w:t xml:space="preserve"> </w:t>
      </w:r>
      <w:proofErr w:type="spellStart"/>
      <w:r>
        <w:rPr>
          <w:rFonts w:ascii="Cambria" w:eastAsia="Cambria" w:hAnsi="Cambria" w:cs="Cambria"/>
        </w:rPr>
        <w:t>kasih</w:t>
      </w:r>
      <w:proofErr w:type="spellEnd"/>
      <w:r>
        <w:rPr>
          <w:rFonts w:ascii="Cambria" w:eastAsia="Cambria" w:hAnsi="Cambria" w:cs="Cambria"/>
        </w:rPr>
        <w:t xml:space="preserve"> </w:t>
      </w:r>
      <w:proofErr w:type="spellStart"/>
      <w:r>
        <w:rPr>
          <w:rFonts w:ascii="Cambria" w:eastAsia="Cambria" w:hAnsi="Cambria" w:cs="Cambria"/>
        </w:rPr>
        <w:t>kepada</w:t>
      </w:r>
      <w:proofErr w:type="spellEnd"/>
      <w:r>
        <w:rPr>
          <w:rFonts w:ascii="Cambria" w:eastAsia="Cambria" w:hAnsi="Cambria" w:cs="Cambria"/>
        </w:rPr>
        <w:t xml:space="preserve"> </w:t>
      </w:r>
      <w:proofErr w:type="spellStart"/>
      <w:r>
        <w:rPr>
          <w:rFonts w:ascii="Cambria" w:eastAsia="Cambria" w:hAnsi="Cambria" w:cs="Cambria"/>
        </w:rPr>
        <w:t>Majelis</w:t>
      </w:r>
      <w:proofErr w:type="spellEnd"/>
      <w:r>
        <w:rPr>
          <w:rFonts w:ascii="Cambria" w:eastAsia="Cambria" w:hAnsi="Cambria" w:cs="Cambria"/>
        </w:rPr>
        <w:t xml:space="preserve"> Pendidikan Tinggi </w:t>
      </w:r>
      <w:proofErr w:type="spellStart"/>
      <w:r>
        <w:rPr>
          <w:rFonts w:ascii="Cambria" w:eastAsia="Cambria" w:hAnsi="Cambria" w:cs="Cambria"/>
        </w:rPr>
        <w:t>Peneli</w:t>
      </w:r>
      <w:r w:rsidR="00CF5B8A">
        <w:rPr>
          <w:rFonts w:ascii="Cambria" w:eastAsia="Cambria" w:hAnsi="Cambria" w:cs="Cambria"/>
        </w:rPr>
        <w:t>tian</w:t>
      </w:r>
      <w:proofErr w:type="spellEnd"/>
      <w:r w:rsidR="00CF5B8A">
        <w:rPr>
          <w:rFonts w:ascii="Cambria" w:eastAsia="Cambria" w:hAnsi="Cambria" w:cs="Cambria"/>
        </w:rPr>
        <w:t xml:space="preserve"> dan </w:t>
      </w:r>
      <w:proofErr w:type="spellStart"/>
      <w:r w:rsidR="00CF5B8A">
        <w:rPr>
          <w:rFonts w:ascii="Cambria" w:eastAsia="Cambria" w:hAnsi="Cambria" w:cs="Cambria"/>
        </w:rPr>
        <w:t>Pengembangan</w:t>
      </w:r>
      <w:proofErr w:type="spellEnd"/>
      <w:r w:rsidR="00CF5B8A">
        <w:rPr>
          <w:rFonts w:ascii="Cambria" w:eastAsia="Cambria" w:hAnsi="Cambria" w:cs="Cambria"/>
        </w:rPr>
        <w:t xml:space="preserve"> </w:t>
      </w:r>
      <w:proofErr w:type="spellStart"/>
      <w:r w:rsidR="00CF5B8A">
        <w:rPr>
          <w:rFonts w:ascii="Cambria" w:eastAsia="Cambria" w:hAnsi="Cambria" w:cs="Cambria"/>
        </w:rPr>
        <w:t>Pimpinan</w:t>
      </w:r>
      <w:proofErr w:type="spellEnd"/>
      <w:r w:rsidR="00CF5B8A">
        <w:rPr>
          <w:rFonts w:ascii="Cambria" w:eastAsia="Cambria" w:hAnsi="Cambria" w:cs="Cambria"/>
        </w:rPr>
        <w:t xml:space="preserve"> Pusat Muhammadiyah yang </w:t>
      </w:r>
      <w:proofErr w:type="spellStart"/>
      <w:r w:rsidR="00CF5B8A">
        <w:rPr>
          <w:rFonts w:ascii="Cambria" w:eastAsia="Cambria" w:hAnsi="Cambria" w:cs="Cambria"/>
        </w:rPr>
        <w:t>telah</w:t>
      </w:r>
      <w:proofErr w:type="spellEnd"/>
      <w:r w:rsidR="00CF5B8A">
        <w:rPr>
          <w:rFonts w:ascii="Cambria" w:eastAsia="Cambria" w:hAnsi="Cambria" w:cs="Cambria"/>
        </w:rPr>
        <w:t xml:space="preserve"> </w:t>
      </w:r>
      <w:proofErr w:type="spellStart"/>
      <w:r w:rsidR="00CF5B8A">
        <w:rPr>
          <w:rFonts w:ascii="Cambria" w:eastAsia="Cambria" w:hAnsi="Cambria" w:cs="Cambria"/>
        </w:rPr>
        <w:t>memberikan</w:t>
      </w:r>
      <w:proofErr w:type="spellEnd"/>
      <w:r w:rsidR="00CF5B8A">
        <w:rPr>
          <w:rFonts w:ascii="Cambria" w:eastAsia="Cambria" w:hAnsi="Cambria" w:cs="Cambria"/>
        </w:rPr>
        <w:t xml:space="preserve"> dana </w:t>
      </w:r>
      <w:proofErr w:type="spellStart"/>
      <w:r w:rsidR="00CF5B8A">
        <w:rPr>
          <w:rFonts w:ascii="Cambria" w:eastAsia="Cambria" w:hAnsi="Cambria" w:cs="Cambria"/>
        </w:rPr>
        <w:t>penelitian</w:t>
      </w:r>
      <w:proofErr w:type="spellEnd"/>
      <w:r w:rsidR="00CF5B8A">
        <w:rPr>
          <w:rFonts w:ascii="Cambria" w:eastAsia="Cambria" w:hAnsi="Cambria" w:cs="Cambria"/>
        </w:rPr>
        <w:t xml:space="preserve"> </w:t>
      </w:r>
      <w:proofErr w:type="spellStart"/>
      <w:r w:rsidR="00CF5B8A">
        <w:rPr>
          <w:rFonts w:ascii="Cambria" w:eastAsia="Cambria" w:hAnsi="Cambria" w:cs="Cambria"/>
        </w:rPr>
        <w:t>dalam</w:t>
      </w:r>
      <w:proofErr w:type="spellEnd"/>
      <w:r w:rsidR="00CF5B8A">
        <w:rPr>
          <w:rFonts w:ascii="Cambria" w:eastAsia="Cambria" w:hAnsi="Cambria" w:cs="Cambria"/>
        </w:rPr>
        <w:t xml:space="preserve"> </w:t>
      </w:r>
      <w:proofErr w:type="spellStart"/>
      <w:r w:rsidR="00CF5B8A">
        <w:rPr>
          <w:rFonts w:ascii="Cambria" w:eastAsia="Cambria" w:hAnsi="Cambria" w:cs="Cambria"/>
        </w:rPr>
        <w:t>kegiatan</w:t>
      </w:r>
      <w:proofErr w:type="spellEnd"/>
      <w:r w:rsidR="00CF5B8A">
        <w:rPr>
          <w:rFonts w:ascii="Cambria" w:eastAsia="Cambria" w:hAnsi="Cambria" w:cs="Cambria"/>
        </w:rPr>
        <w:t xml:space="preserve"> </w:t>
      </w:r>
      <w:proofErr w:type="spellStart"/>
      <w:r w:rsidR="00CF5B8A">
        <w:rPr>
          <w:rFonts w:ascii="Cambria" w:eastAsia="Cambria" w:hAnsi="Cambria" w:cs="Cambria"/>
        </w:rPr>
        <w:t>RisetMU</w:t>
      </w:r>
      <w:proofErr w:type="spellEnd"/>
      <w:r w:rsidR="00CF5B8A">
        <w:rPr>
          <w:rFonts w:ascii="Cambria" w:eastAsia="Cambria" w:hAnsi="Cambria" w:cs="Cambria"/>
        </w:rPr>
        <w:t xml:space="preserve"> Batch V </w:t>
      </w:r>
      <w:proofErr w:type="spellStart"/>
      <w:r w:rsidR="00CF5B8A">
        <w:rPr>
          <w:rFonts w:ascii="Cambria" w:eastAsia="Cambria" w:hAnsi="Cambria" w:cs="Cambria"/>
        </w:rPr>
        <w:t>Tahun</w:t>
      </w:r>
      <w:proofErr w:type="spellEnd"/>
      <w:r w:rsidR="00CF5B8A">
        <w:rPr>
          <w:rFonts w:ascii="Cambria" w:eastAsia="Cambria" w:hAnsi="Cambria" w:cs="Cambria"/>
        </w:rPr>
        <w:t xml:space="preserve"> 2021</w:t>
      </w:r>
      <w:r w:rsidR="00473A60">
        <w:rPr>
          <w:rFonts w:ascii="Cambria" w:eastAsia="Cambria" w:hAnsi="Cambria" w:cs="Cambria"/>
        </w:rPr>
        <w:t xml:space="preserve"> </w:t>
      </w:r>
      <w:proofErr w:type="spellStart"/>
      <w:r w:rsidR="00473A60">
        <w:rPr>
          <w:rFonts w:ascii="Cambria" w:eastAsia="Cambria" w:hAnsi="Cambria" w:cs="Cambria"/>
        </w:rPr>
        <w:t>bekerjasama</w:t>
      </w:r>
      <w:proofErr w:type="spellEnd"/>
      <w:r w:rsidR="00473A60">
        <w:rPr>
          <w:rFonts w:ascii="Cambria" w:eastAsia="Cambria" w:hAnsi="Cambria" w:cs="Cambria"/>
        </w:rPr>
        <w:t xml:space="preserve"> </w:t>
      </w:r>
      <w:proofErr w:type="spellStart"/>
      <w:r w:rsidR="00473A60">
        <w:rPr>
          <w:rFonts w:ascii="Cambria" w:eastAsia="Cambria" w:hAnsi="Cambria" w:cs="Cambria"/>
        </w:rPr>
        <w:t>dengan</w:t>
      </w:r>
      <w:proofErr w:type="spellEnd"/>
      <w:r w:rsidR="00473A60">
        <w:rPr>
          <w:rFonts w:ascii="Cambria" w:eastAsia="Cambria" w:hAnsi="Cambria" w:cs="Cambria"/>
        </w:rPr>
        <w:t xml:space="preserve"> Universitas Muhammadiyah Jakarta.</w:t>
      </w:r>
    </w:p>
    <w:p w14:paraId="5E87FB92" w14:textId="77777777" w:rsidR="00E654A3" w:rsidRDefault="00E654A3">
      <w:pPr>
        <w:spacing w:after="0" w:line="240" w:lineRule="auto"/>
        <w:jc w:val="both"/>
        <w:rPr>
          <w:rFonts w:ascii="Cambria" w:eastAsia="Cambria" w:hAnsi="Cambria" w:cs="Cambria"/>
        </w:rPr>
      </w:pPr>
    </w:p>
    <w:p w14:paraId="59E04F41" w14:textId="55EA816C" w:rsidR="00C72575" w:rsidRDefault="00FA4AE5">
      <w:pPr>
        <w:pStyle w:val="Heading1"/>
        <w:spacing w:before="0" w:after="120" w:line="240" w:lineRule="auto"/>
        <w:rPr>
          <w:rFonts w:ascii="Cambria" w:eastAsia="Cambria" w:hAnsi="Cambria" w:cs="Cambria"/>
          <w:b/>
          <w:color w:val="000000"/>
          <w:sz w:val="28"/>
          <w:szCs w:val="28"/>
        </w:rPr>
      </w:pPr>
      <w:r>
        <w:rPr>
          <w:rFonts w:ascii="Cambria" w:eastAsia="Cambria" w:hAnsi="Cambria" w:cs="Cambria"/>
          <w:b/>
          <w:color w:val="000000"/>
          <w:sz w:val="28"/>
          <w:szCs w:val="28"/>
        </w:rPr>
        <w:t xml:space="preserve">Daftar </w:t>
      </w:r>
      <w:commentRangeStart w:id="22"/>
      <w:proofErr w:type="spellStart"/>
      <w:r>
        <w:rPr>
          <w:rFonts w:ascii="Cambria" w:eastAsia="Cambria" w:hAnsi="Cambria" w:cs="Cambria"/>
          <w:b/>
          <w:color w:val="000000"/>
          <w:sz w:val="28"/>
          <w:szCs w:val="28"/>
        </w:rPr>
        <w:t>Rujukan</w:t>
      </w:r>
      <w:commentRangeEnd w:id="22"/>
      <w:proofErr w:type="spellEnd"/>
      <w:r w:rsidR="005259FA">
        <w:rPr>
          <w:rStyle w:val="CommentReference"/>
          <w:rFonts w:ascii="Calibri" w:eastAsia="Calibri" w:hAnsi="Calibri" w:cs="Calibri"/>
          <w:color w:val="auto"/>
        </w:rPr>
        <w:commentReference w:id="22"/>
      </w:r>
    </w:p>
    <w:p w14:paraId="1E0DE1F8" w14:textId="2ED72D3C" w:rsidR="00863181" w:rsidRPr="00863181" w:rsidRDefault="00E469C6" w:rsidP="00863181">
      <w:pPr>
        <w:widowControl w:val="0"/>
        <w:autoSpaceDE w:val="0"/>
        <w:autoSpaceDN w:val="0"/>
        <w:adjustRightInd w:val="0"/>
        <w:spacing w:line="240" w:lineRule="auto"/>
        <w:ind w:left="480" w:hanging="480"/>
        <w:rPr>
          <w:rFonts w:ascii="Cambria" w:hAnsi="Cambria" w:cs="Times New Roman"/>
          <w:noProof/>
          <w:szCs w:val="24"/>
        </w:rPr>
      </w:pPr>
      <w:r w:rsidRPr="00EE63EB">
        <w:rPr>
          <w:rFonts w:ascii="Cambria" w:hAnsi="Cambria"/>
        </w:rPr>
        <w:fldChar w:fldCharType="begin" w:fldLock="1"/>
      </w:r>
      <w:r w:rsidRPr="00EE63EB">
        <w:rPr>
          <w:rFonts w:ascii="Cambria" w:hAnsi="Cambria"/>
        </w:rPr>
        <w:instrText xml:space="preserve">ADDIN Mendeley Bibliography CSL_BIBLIOGRAPHY </w:instrText>
      </w:r>
      <w:r w:rsidRPr="00EE63EB">
        <w:rPr>
          <w:rFonts w:ascii="Cambria" w:hAnsi="Cambria"/>
        </w:rPr>
        <w:fldChar w:fldCharType="separate"/>
      </w:r>
      <w:r w:rsidR="00863181" w:rsidRPr="00863181">
        <w:rPr>
          <w:rFonts w:ascii="Cambria" w:hAnsi="Cambria" w:cs="Times New Roman"/>
          <w:noProof/>
          <w:szCs w:val="24"/>
        </w:rPr>
        <w:t xml:space="preserve">Adem, Ş., Eyupoglu, V., Sarfraz, I., Rasul, A., Zahoor, A. F., Ali, M., Abdalla, M., Ibrahim, I. M., &amp; Elfiky, A. A. (2021). Caffeic acid derivatives (CAFDs) as inhibitors of SARS-CoV-2: CAFDs-based functional foods as a potential alternative approach to combat COVID-19. </w:t>
      </w:r>
      <w:r w:rsidR="00863181" w:rsidRPr="00863181">
        <w:rPr>
          <w:rFonts w:ascii="Cambria" w:hAnsi="Cambria" w:cs="Times New Roman"/>
          <w:i/>
          <w:iCs/>
          <w:noProof/>
          <w:szCs w:val="24"/>
        </w:rPr>
        <w:t>Phytomedicine</w:t>
      </w:r>
      <w:r w:rsidR="00863181" w:rsidRPr="00863181">
        <w:rPr>
          <w:rFonts w:ascii="Cambria" w:hAnsi="Cambria" w:cs="Times New Roman"/>
          <w:noProof/>
          <w:szCs w:val="24"/>
        </w:rPr>
        <w:t xml:space="preserve">, </w:t>
      </w:r>
      <w:r w:rsidR="00863181" w:rsidRPr="00863181">
        <w:rPr>
          <w:rFonts w:ascii="Cambria" w:hAnsi="Cambria" w:cs="Times New Roman"/>
          <w:i/>
          <w:iCs/>
          <w:noProof/>
          <w:szCs w:val="24"/>
        </w:rPr>
        <w:t>85</w:t>
      </w:r>
      <w:r w:rsidR="00863181" w:rsidRPr="00863181">
        <w:rPr>
          <w:rFonts w:ascii="Cambria" w:hAnsi="Cambria" w:cs="Times New Roman"/>
          <w:noProof/>
          <w:szCs w:val="24"/>
        </w:rPr>
        <w:t>(April 2020). https://doi.org/10.1016/j.phymed.2020.153310</w:t>
      </w:r>
    </w:p>
    <w:p w14:paraId="15A2BBFE"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Ali, S., Alam, M., Khatoon, F., &amp; Fatima, U. (2020). Natural products can be used in therapeutic management of COVID-19: Probable mechanistic insights. </w:t>
      </w:r>
      <w:r w:rsidRPr="00863181">
        <w:rPr>
          <w:rFonts w:ascii="Cambria" w:hAnsi="Cambria" w:cs="Times New Roman"/>
          <w:i/>
          <w:iCs/>
          <w:noProof/>
          <w:szCs w:val="24"/>
        </w:rPr>
        <w:t>Biomedicine &amp; Pharmacotherapy</w:t>
      </w:r>
      <w:r w:rsidRPr="00863181">
        <w:rPr>
          <w:rFonts w:ascii="Cambria" w:hAnsi="Cambria" w:cs="Times New Roman"/>
          <w:noProof/>
          <w:szCs w:val="24"/>
        </w:rPr>
        <w:t xml:space="preserve">, </w:t>
      </w:r>
      <w:r w:rsidRPr="00863181">
        <w:rPr>
          <w:rFonts w:ascii="Cambria" w:hAnsi="Cambria" w:cs="Times New Roman"/>
          <w:i/>
          <w:iCs/>
          <w:noProof/>
          <w:szCs w:val="24"/>
        </w:rPr>
        <w:t>147</w:t>
      </w:r>
      <w:r w:rsidRPr="00863181">
        <w:rPr>
          <w:rFonts w:ascii="Cambria" w:hAnsi="Cambria" w:cs="Times New Roman"/>
          <w:noProof/>
          <w:szCs w:val="24"/>
        </w:rPr>
        <w:t>(January), 112658. https://doi.org/https://doi.org/10.1016/j.</w:t>
      </w:r>
      <w:r w:rsidRPr="00863181">
        <w:rPr>
          <w:rFonts w:ascii="Cambria" w:hAnsi="Cambria" w:cs="Times New Roman"/>
          <w:noProof/>
          <w:szCs w:val="24"/>
        </w:rPr>
        <w:t>biopha.2022.112658</w:t>
      </w:r>
    </w:p>
    <w:p w14:paraId="1F12AB09"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AOAC. (2015). AOAC Official Method 2015.01 Heavy Metals in Food Inductively Coupled Plasma–Mass Spectrometry First Action 2015. </w:t>
      </w:r>
      <w:r w:rsidRPr="00863181">
        <w:rPr>
          <w:rFonts w:ascii="Cambria" w:hAnsi="Cambria" w:cs="Times New Roman"/>
          <w:i/>
          <w:iCs/>
          <w:noProof/>
          <w:szCs w:val="24"/>
        </w:rPr>
        <w:t>Journal of AOAC International</w:t>
      </w:r>
      <w:r w:rsidRPr="00863181">
        <w:rPr>
          <w:rFonts w:ascii="Cambria" w:hAnsi="Cambria" w:cs="Times New Roman"/>
          <w:noProof/>
          <w:szCs w:val="24"/>
        </w:rPr>
        <w:t>, 1–15. doi: 10.5740/jaoac.int.2012.007</w:t>
      </w:r>
    </w:p>
    <w:p w14:paraId="2A382EBE"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Citronberg, J., Bostick, R., Ahearn, T., Turgeon, D. K., &amp; Ruffin, M.T., Djuric, Z., Sen, A.,  et al. (2013). Effects of Ginger Supplementation on Cell Cycle Biomarkers in the Normal-Appearing Colonic Mucosa of Patients at Increased Risk for Colorectal Cancer: Results from a Pilot, Randomized, Controlled Trial. </w:t>
      </w:r>
      <w:r w:rsidRPr="00863181">
        <w:rPr>
          <w:rFonts w:ascii="Cambria" w:hAnsi="Cambria" w:cs="Times New Roman"/>
          <w:i/>
          <w:iCs/>
          <w:noProof/>
          <w:szCs w:val="24"/>
        </w:rPr>
        <w:t>Cancer Prev Res (Phila)</w:t>
      </w:r>
      <w:r w:rsidRPr="00863181">
        <w:rPr>
          <w:rFonts w:ascii="Cambria" w:hAnsi="Cambria" w:cs="Times New Roman"/>
          <w:noProof/>
          <w:szCs w:val="24"/>
        </w:rPr>
        <w:t xml:space="preserve">, </w:t>
      </w:r>
      <w:r w:rsidRPr="00863181">
        <w:rPr>
          <w:rFonts w:ascii="Cambria" w:hAnsi="Cambria" w:cs="Times New Roman"/>
          <w:i/>
          <w:iCs/>
          <w:noProof/>
          <w:szCs w:val="24"/>
        </w:rPr>
        <w:t>6</w:t>
      </w:r>
      <w:r w:rsidRPr="00863181">
        <w:rPr>
          <w:rFonts w:ascii="Cambria" w:hAnsi="Cambria" w:cs="Times New Roman"/>
          <w:noProof/>
          <w:szCs w:val="24"/>
        </w:rPr>
        <w:t>(4), 271–281. https://doi.org/10.1158/1940-6207.CAPR-12-0327.</w:t>
      </w:r>
    </w:p>
    <w:p w14:paraId="48660AE3"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Fatmala, I. A., &amp; Adi, A. C. (2018). Daya Terima Dan Kandungan Protein Biskuit Substitusi Tepung Ubi Jalar Ungu Dan Isolat Protein Kedelai Untuk Pemberian Makanan Tambahan Ibu Hamil Kek. </w:t>
      </w:r>
      <w:r w:rsidRPr="00863181">
        <w:rPr>
          <w:rFonts w:ascii="Cambria" w:hAnsi="Cambria" w:cs="Times New Roman"/>
          <w:i/>
          <w:iCs/>
          <w:noProof/>
          <w:szCs w:val="24"/>
        </w:rPr>
        <w:t>Media Gizi Indonesia</w:t>
      </w:r>
      <w:r w:rsidRPr="00863181">
        <w:rPr>
          <w:rFonts w:ascii="Cambria" w:hAnsi="Cambria" w:cs="Times New Roman"/>
          <w:noProof/>
          <w:szCs w:val="24"/>
        </w:rPr>
        <w:t xml:space="preserve">, </w:t>
      </w:r>
      <w:r w:rsidRPr="00863181">
        <w:rPr>
          <w:rFonts w:ascii="Cambria" w:hAnsi="Cambria" w:cs="Times New Roman"/>
          <w:i/>
          <w:iCs/>
          <w:noProof/>
          <w:szCs w:val="24"/>
        </w:rPr>
        <w:t>12</w:t>
      </w:r>
      <w:r w:rsidRPr="00863181">
        <w:rPr>
          <w:rFonts w:ascii="Cambria" w:hAnsi="Cambria" w:cs="Times New Roman"/>
          <w:noProof/>
          <w:szCs w:val="24"/>
        </w:rPr>
        <w:t>(2), 156. https://doi.org/10.20473/mgi.v12i2.156-163</w:t>
      </w:r>
    </w:p>
    <w:p w14:paraId="0DBC7478"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Galanakis CM. (2020). The Food Systems in the Era of the Coronavirus (COVID-19) Pandemic Crisis. </w:t>
      </w:r>
      <w:r w:rsidRPr="00863181">
        <w:rPr>
          <w:rFonts w:ascii="Cambria" w:hAnsi="Cambria" w:cs="Times New Roman"/>
          <w:i/>
          <w:iCs/>
          <w:noProof/>
          <w:szCs w:val="24"/>
        </w:rPr>
        <w:t>Foods</w:t>
      </w:r>
      <w:r w:rsidRPr="00863181">
        <w:rPr>
          <w:rFonts w:ascii="Cambria" w:hAnsi="Cambria" w:cs="Times New Roman"/>
          <w:noProof/>
          <w:szCs w:val="24"/>
        </w:rPr>
        <w:t xml:space="preserve">, </w:t>
      </w:r>
      <w:r w:rsidRPr="00863181">
        <w:rPr>
          <w:rFonts w:ascii="Cambria" w:hAnsi="Cambria" w:cs="Times New Roman"/>
          <w:i/>
          <w:iCs/>
          <w:noProof/>
          <w:szCs w:val="24"/>
        </w:rPr>
        <w:t>9</w:t>
      </w:r>
      <w:r w:rsidRPr="00863181">
        <w:rPr>
          <w:rFonts w:ascii="Cambria" w:hAnsi="Cambria" w:cs="Times New Roman"/>
          <w:noProof/>
          <w:szCs w:val="24"/>
        </w:rPr>
        <w:t>(523), 1–10. https://doi.org/doi:10.3390/foods9040523</w:t>
      </w:r>
    </w:p>
    <w:p w14:paraId="11CCD672"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Giovinazzo, G., Gerardi, C., Uberti-Foppa, C., &amp; Lopalco, L. (2020). Can Natural Polyphenols Help in Reducing Cytokine Storm in COVID-19 Patients? </w:t>
      </w:r>
      <w:r w:rsidRPr="00863181">
        <w:rPr>
          <w:rFonts w:ascii="Cambria" w:hAnsi="Cambria" w:cs="Times New Roman"/>
          <w:i/>
          <w:iCs/>
          <w:noProof/>
          <w:szCs w:val="24"/>
        </w:rPr>
        <w:t>Molecules (Basel, Switzerland)</w:t>
      </w:r>
      <w:r w:rsidRPr="00863181">
        <w:rPr>
          <w:rFonts w:ascii="Cambria" w:hAnsi="Cambria" w:cs="Times New Roman"/>
          <w:noProof/>
          <w:szCs w:val="24"/>
        </w:rPr>
        <w:t xml:space="preserve">, </w:t>
      </w:r>
      <w:r w:rsidRPr="00863181">
        <w:rPr>
          <w:rFonts w:ascii="Cambria" w:hAnsi="Cambria" w:cs="Times New Roman"/>
          <w:i/>
          <w:iCs/>
          <w:noProof/>
          <w:szCs w:val="24"/>
        </w:rPr>
        <w:t>25</w:t>
      </w:r>
      <w:r w:rsidRPr="00863181">
        <w:rPr>
          <w:rFonts w:ascii="Cambria" w:hAnsi="Cambria" w:cs="Times New Roman"/>
          <w:noProof/>
          <w:szCs w:val="24"/>
        </w:rPr>
        <w:t>(24), 1–14. https://doi.org/10.3390/molecules25245888</w:t>
      </w:r>
    </w:p>
    <w:p w14:paraId="7A4B8563"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Husna, N. El, Novita, M., &amp; Rohaya, S. (2013). Kandungan Antosianin dan Aktivitas Antioksidan Ubi Jalar Ungu Segar dan Produk Olahannya. </w:t>
      </w:r>
      <w:r w:rsidRPr="00863181">
        <w:rPr>
          <w:rFonts w:ascii="Cambria" w:hAnsi="Cambria" w:cs="Times New Roman"/>
          <w:i/>
          <w:iCs/>
          <w:noProof/>
          <w:szCs w:val="24"/>
        </w:rPr>
        <w:t>Agritech</w:t>
      </w:r>
      <w:r w:rsidRPr="00863181">
        <w:rPr>
          <w:rFonts w:ascii="Cambria" w:hAnsi="Cambria" w:cs="Times New Roman"/>
          <w:noProof/>
          <w:szCs w:val="24"/>
        </w:rPr>
        <w:t xml:space="preserve">, </w:t>
      </w:r>
      <w:r w:rsidRPr="00863181">
        <w:rPr>
          <w:rFonts w:ascii="Cambria" w:hAnsi="Cambria" w:cs="Times New Roman"/>
          <w:i/>
          <w:iCs/>
          <w:noProof/>
          <w:szCs w:val="24"/>
        </w:rPr>
        <w:t>33</w:t>
      </w:r>
      <w:r w:rsidRPr="00863181">
        <w:rPr>
          <w:rFonts w:ascii="Cambria" w:hAnsi="Cambria" w:cs="Times New Roman"/>
          <w:noProof/>
          <w:szCs w:val="24"/>
        </w:rPr>
        <w:t>(03), 296–302. https://doi.org/10.22146/agritech.9551</w:t>
      </w:r>
    </w:p>
    <w:p w14:paraId="3E492D16"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IOM. (2000). </w:t>
      </w:r>
      <w:r w:rsidRPr="00863181">
        <w:rPr>
          <w:rFonts w:ascii="Cambria" w:hAnsi="Cambria" w:cs="Times New Roman"/>
          <w:i/>
          <w:iCs/>
          <w:noProof/>
          <w:szCs w:val="24"/>
        </w:rPr>
        <w:t xml:space="preserve">Dietary reference intakes for vitamin C, vitamin E, selenium, and carotenoids : a report of the Panel on Dietary Antioxidants and Related Compounds, Subcommittees on Upper </w:t>
      </w:r>
      <w:r w:rsidRPr="00863181">
        <w:rPr>
          <w:rFonts w:ascii="Cambria" w:hAnsi="Cambria" w:cs="Times New Roman"/>
          <w:i/>
          <w:iCs/>
          <w:noProof/>
          <w:szCs w:val="24"/>
        </w:rPr>
        <w:lastRenderedPageBreak/>
        <w:t>Reference Levels of Nutrients and of Interpretation and Use of Dietary Reference In</w:t>
      </w:r>
      <w:r w:rsidRPr="00863181">
        <w:rPr>
          <w:rFonts w:ascii="Cambria" w:hAnsi="Cambria" w:cs="Times New Roman"/>
          <w:noProof/>
          <w:szCs w:val="24"/>
        </w:rPr>
        <w:t>.</w:t>
      </w:r>
    </w:p>
    <w:p w14:paraId="1853843B"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Kusumo, A. R., Wiyoga, F. Y., Perdana, H. P., Khairunnisa, I., Suhandi, R. I., &amp; Prastika, S. S. (2020). Jamu Tradisional Indonesia: Tingkatkan Imunitas Tubuh Secara Alami Selama Pandemi. </w:t>
      </w:r>
      <w:r w:rsidRPr="00863181">
        <w:rPr>
          <w:rFonts w:ascii="Cambria" w:hAnsi="Cambria" w:cs="Times New Roman"/>
          <w:i/>
          <w:iCs/>
          <w:noProof/>
          <w:szCs w:val="24"/>
        </w:rPr>
        <w:t>Jurnal Layanan Masyarakat (Journal of Public Services)</w:t>
      </w:r>
      <w:r w:rsidRPr="00863181">
        <w:rPr>
          <w:rFonts w:ascii="Cambria" w:hAnsi="Cambria" w:cs="Times New Roman"/>
          <w:noProof/>
          <w:szCs w:val="24"/>
        </w:rPr>
        <w:t xml:space="preserve">, </w:t>
      </w:r>
      <w:r w:rsidRPr="00863181">
        <w:rPr>
          <w:rFonts w:ascii="Cambria" w:hAnsi="Cambria" w:cs="Times New Roman"/>
          <w:i/>
          <w:iCs/>
          <w:noProof/>
          <w:szCs w:val="24"/>
        </w:rPr>
        <w:t>4</w:t>
      </w:r>
      <w:r w:rsidRPr="00863181">
        <w:rPr>
          <w:rFonts w:ascii="Cambria" w:hAnsi="Cambria" w:cs="Times New Roman"/>
          <w:noProof/>
          <w:szCs w:val="24"/>
        </w:rPr>
        <w:t>(2), 465. https://doi.org/10.20473/jlm.v4i2.2020.465-471</w:t>
      </w:r>
    </w:p>
    <w:p w14:paraId="570479BD"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Maggini, S., Pierre, A., &amp; Calder, P. C. (2018). Immune function and micronutrient requirements change over the life course. </w:t>
      </w:r>
      <w:r w:rsidRPr="00863181">
        <w:rPr>
          <w:rFonts w:ascii="Cambria" w:hAnsi="Cambria" w:cs="Times New Roman"/>
          <w:i/>
          <w:iCs/>
          <w:noProof/>
          <w:szCs w:val="24"/>
        </w:rPr>
        <w:t>Nutrients</w:t>
      </w:r>
      <w:r w:rsidRPr="00863181">
        <w:rPr>
          <w:rFonts w:ascii="Cambria" w:hAnsi="Cambria" w:cs="Times New Roman"/>
          <w:noProof/>
          <w:szCs w:val="24"/>
        </w:rPr>
        <w:t xml:space="preserve">, </w:t>
      </w:r>
      <w:r w:rsidRPr="00863181">
        <w:rPr>
          <w:rFonts w:ascii="Cambria" w:hAnsi="Cambria" w:cs="Times New Roman"/>
          <w:i/>
          <w:iCs/>
          <w:noProof/>
          <w:szCs w:val="24"/>
        </w:rPr>
        <w:t>10</w:t>
      </w:r>
      <w:r w:rsidRPr="00863181">
        <w:rPr>
          <w:rFonts w:ascii="Cambria" w:hAnsi="Cambria" w:cs="Times New Roman"/>
          <w:noProof/>
          <w:szCs w:val="24"/>
        </w:rPr>
        <w:t>(10). https://doi.org/10.3390/nu10101531</w:t>
      </w:r>
    </w:p>
    <w:p w14:paraId="61BF2B3D"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Mao, Q. Q., Xu, X. Y., Cao, S. Y., Gan, R. Y., Corke, H., Beta, T., &amp; Li, H. Bin. (2019). Bioactive compounds and bioactivities of ginger (zingiber officinale roscoe). </w:t>
      </w:r>
      <w:r w:rsidRPr="00863181">
        <w:rPr>
          <w:rFonts w:ascii="Cambria" w:hAnsi="Cambria" w:cs="Times New Roman"/>
          <w:i/>
          <w:iCs/>
          <w:noProof/>
          <w:szCs w:val="24"/>
        </w:rPr>
        <w:t>Foods</w:t>
      </w:r>
      <w:r w:rsidRPr="00863181">
        <w:rPr>
          <w:rFonts w:ascii="Cambria" w:hAnsi="Cambria" w:cs="Times New Roman"/>
          <w:noProof/>
          <w:szCs w:val="24"/>
        </w:rPr>
        <w:t xml:space="preserve">, </w:t>
      </w:r>
      <w:r w:rsidRPr="00863181">
        <w:rPr>
          <w:rFonts w:ascii="Cambria" w:hAnsi="Cambria" w:cs="Times New Roman"/>
          <w:i/>
          <w:iCs/>
          <w:noProof/>
          <w:szCs w:val="24"/>
        </w:rPr>
        <w:t>8</w:t>
      </w:r>
      <w:r w:rsidRPr="00863181">
        <w:rPr>
          <w:rFonts w:ascii="Cambria" w:hAnsi="Cambria" w:cs="Times New Roman"/>
          <w:noProof/>
          <w:szCs w:val="24"/>
        </w:rPr>
        <w:t>(6), 1–21. https://doi.org/10.3390/foods8060185</w:t>
      </w:r>
    </w:p>
    <w:p w14:paraId="7DEAAC5B"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Mishra, S., Sharma, D., Raghuvanshi, A., Rajput, A., Chaturvedi, V., &amp; Shanno, K. (2020). Potential Impact of Nutrition on Immune System: Prevent or Assist COVID-19 Recovery. </w:t>
      </w:r>
      <w:r w:rsidRPr="00863181">
        <w:rPr>
          <w:rFonts w:ascii="Cambria" w:hAnsi="Cambria" w:cs="Times New Roman"/>
          <w:i/>
          <w:iCs/>
          <w:noProof/>
          <w:szCs w:val="24"/>
        </w:rPr>
        <w:t>Journal of Advances in Medicine and Medical Research</w:t>
      </w:r>
      <w:r w:rsidRPr="00863181">
        <w:rPr>
          <w:rFonts w:ascii="Cambria" w:hAnsi="Cambria" w:cs="Times New Roman"/>
          <w:noProof/>
          <w:szCs w:val="24"/>
        </w:rPr>
        <w:t xml:space="preserve">, </w:t>
      </w:r>
      <w:r w:rsidRPr="00863181">
        <w:rPr>
          <w:rFonts w:ascii="Cambria" w:hAnsi="Cambria" w:cs="Times New Roman"/>
          <w:i/>
          <w:iCs/>
          <w:noProof/>
          <w:szCs w:val="24"/>
        </w:rPr>
        <w:t>32</w:t>
      </w:r>
      <w:r w:rsidRPr="00863181">
        <w:rPr>
          <w:rFonts w:ascii="Cambria" w:hAnsi="Cambria" w:cs="Times New Roman"/>
          <w:noProof/>
          <w:szCs w:val="24"/>
        </w:rPr>
        <w:t>(22), 20–33. https://doi.org/10.9734/jammr/2020/v32i2230702</w:t>
      </w:r>
    </w:p>
    <w:p w14:paraId="2EE32029"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Nile, S. H., &amp; Park, S. W. (2015). Chromatographic analysis, antioxidant, anti-inflammatory, and xanthine oxidase inhibitory activities of ginger extracts and its reference compounds. </w:t>
      </w:r>
      <w:r w:rsidRPr="00863181">
        <w:rPr>
          <w:rFonts w:ascii="Cambria" w:hAnsi="Cambria" w:cs="Times New Roman"/>
          <w:i/>
          <w:iCs/>
          <w:noProof/>
          <w:szCs w:val="24"/>
        </w:rPr>
        <w:t>Industrial Crops and Products</w:t>
      </w:r>
      <w:r w:rsidRPr="00863181">
        <w:rPr>
          <w:rFonts w:ascii="Cambria" w:hAnsi="Cambria" w:cs="Times New Roman"/>
          <w:noProof/>
          <w:szCs w:val="24"/>
        </w:rPr>
        <w:t xml:space="preserve">, </w:t>
      </w:r>
      <w:r w:rsidRPr="00863181">
        <w:rPr>
          <w:rFonts w:ascii="Cambria" w:hAnsi="Cambria" w:cs="Times New Roman"/>
          <w:i/>
          <w:iCs/>
          <w:noProof/>
          <w:szCs w:val="24"/>
        </w:rPr>
        <w:t>70</w:t>
      </w:r>
      <w:r w:rsidRPr="00863181">
        <w:rPr>
          <w:rFonts w:ascii="Cambria" w:hAnsi="Cambria" w:cs="Times New Roman"/>
          <w:noProof/>
          <w:szCs w:val="24"/>
        </w:rPr>
        <w:t>, 238–244. https://doi.org/10.1016/j.indcrop.2015.03.033</w:t>
      </w:r>
    </w:p>
    <w:p w14:paraId="5A559D89"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Rattis, B. A. C., Ramos, S. G., &amp; Celes, M. R. N. (2021). Curcumin as a Potential Treatment for COVID-19. </w:t>
      </w:r>
      <w:r w:rsidRPr="00863181">
        <w:rPr>
          <w:rFonts w:ascii="Cambria" w:hAnsi="Cambria" w:cs="Times New Roman"/>
          <w:i/>
          <w:iCs/>
          <w:noProof/>
          <w:szCs w:val="24"/>
        </w:rPr>
        <w:t>Frontiers in Pharmacology</w:t>
      </w:r>
      <w:r w:rsidRPr="00863181">
        <w:rPr>
          <w:rFonts w:ascii="Cambria" w:hAnsi="Cambria" w:cs="Times New Roman"/>
          <w:noProof/>
          <w:szCs w:val="24"/>
        </w:rPr>
        <w:t xml:space="preserve">, </w:t>
      </w:r>
      <w:r w:rsidRPr="00863181">
        <w:rPr>
          <w:rFonts w:ascii="Cambria" w:hAnsi="Cambria" w:cs="Times New Roman"/>
          <w:i/>
          <w:iCs/>
          <w:noProof/>
          <w:szCs w:val="24"/>
        </w:rPr>
        <w:t>12</w:t>
      </w:r>
      <w:r w:rsidRPr="00863181">
        <w:rPr>
          <w:rFonts w:ascii="Cambria" w:hAnsi="Cambria" w:cs="Times New Roman"/>
          <w:noProof/>
          <w:szCs w:val="24"/>
        </w:rPr>
        <w:t>(May), 1–14. https://doi.org/10.3389/fphar.2021.675287</w:t>
      </w:r>
    </w:p>
    <w:p w14:paraId="2189660A"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Setyaningsih, D.; Apriyantono, A.; Sari, M. . (2010). </w:t>
      </w:r>
      <w:r w:rsidRPr="00863181">
        <w:rPr>
          <w:rFonts w:ascii="Cambria" w:hAnsi="Cambria" w:cs="Times New Roman"/>
          <w:i/>
          <w:iCs/>
          <w:noProof/>
          <w:szCs w:val="24"/>
        </w:rPr>
        <w:t>Analisis Sensori untuk Industri Pangan dan Agro</w:t>
      </w:r>
      <w:r w:rsidRPr="00863181">
        <w:rPr>
          <w:rFonts w:ascii="Cambria" w:hAnsi="Cambria" w:cs="Times New Roman"/>
          <w:noProof/>
          <w:szCs w:val="24"/>
        </w:rPr>
        <w:t>. IPB Press.</w:t>
      </w:r>
    </w:p>
    <w:p w14:paraId="2F1C5C3C"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Singh, P. K., Kotia, V., Ghosh, D., Mohite, G. M., Kumar, A., &amp; Maji, S. K. (2013). Curcumin modulates α-synuclein aggregation and toxicity. </w:t>
      </w:r>
      <w:r w:rsidRPr="00863181">
        <w:rPr>
          <w:rFonts w:ascii="Cambria" w:hAnsi="Cambria" w:cs="Times New Roman"/>
          <w:i/>
          <w:iCs/>
          <w:noProof/>
          <w:szCs w:val="24"/>
        </w:rPr>
        <w:t>ACS Chemical Neuroscience</w:t>
      </w:r>
      <w:r w:rsidRPr="00863181">
        <w:rPr>
          <w:rFonts w:ascii="Cambria" w:hAnsi="Cambria" w:cs="Times New Roman"/>
          <w:noProof/>
          <w:szCs w:val="24"/>
        </w:rPr>
        <w:t xml:space="preserve">, </w:t>
      </w:r>
      <w:r w:rsidRPr="00863181">
        <w:rPr>
          <w:rFonts w:ascii="Cambria" w:hAnsi="Cambria" w:cs="Times New Roman"/>
          <w:i/>
          <w:iCs/>
          <w:noProof/>
          <w:szCs w:val="24"/>
        </w:rPr>
        <w:t>4</w:t>
      </w:r>
      <w:r w:rsidRPr="00863181">
        <w:rPr>
          <w:rFonts w:ascii="Cambria" w:hAnsi="Cambria" w:cs="Times New Roman"/>
          <w:noProof/>
          <w:szCs w:val="24"/>
        </w:rPr>
        <w:t>(3), 393–407. https://doi.org/10.1021/cn3001203</w:t>
      </w:r>
    </w:p>
    <w:p w14:paraId="6E0B3206"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Stoner, G. D. (2013). Ginger: Is it ready for prime time? </w:t>
      </w:r>
      <w:r w:rsidRPr="00863181">
        <w:rPr>
          <w:rFonts w:ascii="Cambria" w:hAnsi="Cambria" w:cs="Times New Roman"/>
          <w:i/>
          <w:iCs/>
          <w:noProof/>
          <w:szCs w:val="24"/>
        </w:rPr>
        <w:t>Cancer Prevention Research</w:t>
      </w:r>
      <w:r w:rsidRPr="00863181">
        <w:rPr>
          <w:rFonts w:ascii="Cambria" w:hAnsi="Cambria" w:cs="Times New Roman"/>
          <w:noProof/>
          <w:szCs w:val="24"/>
        </w:rPr>
        <w:t xml:space="preserve">, </w:t>
      </w:r>
      <w:r w:rsidRPr="00863181">
        <w:rPr>
          <w:rFonts w:ascii="Cambria" w:hAnsi="Cambria" w:cs="Times New Roman"/>
          <w:i/>
          <w:iCs/>
          <w:noProof/>
          <w:szCs w:val="24"/>
        </w:rPr>
        <w:t>6</w:t>
      </w:r>
      <w:r w:rsidRPr="00863181">
        <w:rPr>
          <w:rFonts w:ascii="Cambria" w:hAnsi="Cambria" w:cs="Times New Roman"/>
          <w:noProof/>
          <w:szCs w:val="24"/>
        </w:rPr>
        <w:t>(4), 257–262. https://doi.org/10.1158/1940-6207.CAPR-13-0055</w:t>
      </w:r>
    </w:p>
    <w:p w14:paraId="3E8B1447"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UNICEF. (2021). Conceptual Framework Child Nutrition. In </w:t>
      </w:r>
      <w:r w:rsidRPr="00863181">
        <w:rPr>
          <w:rFonts w:ascii="Cambria" w:hAnsi="Cambria" w:cs="Times New Roman"/>
          <w:i/>
          <w:iCs/>
          <w:noProof/>
          <w:szCs w:val="24"/>
        </w:rPr>
        <w:t>UNICEF</w:t>
      </w:r>
      <w:r w:rsidRPr="00863181">
        <w:rPr>
          <w:rFonts w:ascii="Cambria" w:hAnsi="Cambria" w:cs="Times New Roman"/>
          <w:noProof/>
          <w:szCs w:val="24"/>
        </w:rPr>
        <w:t>.</w:t>
      </w:r>
    </w:p>
    <w:p w14:paraId="7895CA9F"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Vijendra Kumar, N., Murthy, P. S., Manjunatha, J. R., &amp; Bettadaiah, B. K. (2014). Synthesis and quorum sensing inhibitory activity of key phenolic compounds of ginger and their derivatives. </w:t>
      </w:r>
      <w:r w:rsidRPr="00863181">
        <w:rPr>
          <w:rFonts w:ascii="Cambria" w:hAnsi="Cambria" w:cs="Times New Roman"/>
          <w:i/>
          <w:iCs/>
          <w:noProof/>
          <w:szCs w:val="24"/>
        </w:rPr>
        <w:t>Food Chemistry</w:t>
      </w:r>
      <w:r w:rsidRPr="00863181">
        <w:rPr>
          <w:rFonts w:ascii="Cambria" w:hAnsi="Cambria" w:cs="Times New Roman"/>
          <w:noProof/>
          <w:szCs w:val="24"/>
        </w:rPr>
        <w:t xml:space="preserve">, </w:t>
      </w:r>
      <w:r w:rsidRPr="00863181">
        <w:rPr>
          <w:rFonts w:ascii="Cambria" w:hAnsi="Cambria" w:cs="Times New Roman"/>
          <w:i/>
          <w:iCs/>
          <w:noProof/>
          <w:szCs w:val="24"/>
        </w:rPr>
        <w:t>159</w:t>
      </w:r>
      <w:r w:rsidRPr="00863181">
        <w:rPr>
          <w:rFonts w:ascii="Cambria" w:hAnsi="Cambria" w:cs="Times New Roman"/>
          <w:noProof/>
          <w:szCs w:val="24"/>
        </w:rPr>
        <w:t>, 451–457. https://doi.org/10.1016/j.foodchem.2014.03.039</w:t>
      </w:r>
    </w:p>
    <w:p w14:paraId="258B2602"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WHO Director-General’s opening remarks at the media briefing on COVID-19 - 11 March 2020, (2020). https://www.who.int/director-general/speeches/detail/who-director-general-s-opening-remarks-at-the-media-briefing-on-covid-19---11-march-2020</w:t>
      </w:r>
    </w:p>
    <w:p w14:paraId="663DD219" w14:textId="77777777" w:rsidR="00863181" w:rsidRPr="00863181" w:rsidRDefault="00863181" w:rsidP="00863181">
      <w:pPr>
        <w:widowControl w:val="0"/>
        <w:autoSpaceDE w:val="0"/>
        <w:autoSpaceDN w:val="0"/>
        <w:adjustRightInd w:val="0"/>
        <w:spacing w:line="240" w:lineRule="auto"/>
        <w:ind w:left="480" w:hanging="480"/>
        <w:rPr>
          <w:rFonts w:ascii="Cambria" w:hAnsi="Cambria" w:cs="Times New Roman"/>
          <w:noProof/>
          <w:szCs w:val="24"/>
        </w:rPr>
      </w:pPr>
      <w:r w:rsidRPr="00863181">
        <w:rPr>
          <w:rFonts w:ascii="Cambria" w:hAnsi="Cambria" w:cs="Times New Roman"/>
          <w:noProof/>
          <w:szCs w:val="24"/>
        </w:rPr>
        <w:t xml:space="preserve">Zhang, M., Viennois, E., Prasad, M., Zhang, Y., Wang, L., Zhang, Z., Han, M. K., Xiao, B., Xu, C., Srinivasan, S., &amp; Merlin, D. (2016). Edible ginger-derived nanoparticles: A novel therapeutic approach for the prevention and treatment of inflammatory bowel disease and colitis-associated cancer. </w:t>
      </w:r>
      <w:r w:rsidRPr="00863181">
        <w:rPr>
          <w:rFonts w:ascii="Cambria" w:hAnsi="Cambria" w:cs="Times New Roman"/>
          <w:i/>
          <w:iCs/>
          <w:noProof/>
          <w:szCs w:val="24"/>
        </w:rPr>
        <w:t>Biomaterials</w:t>
      </w:r>
      <w:r w:rsidRPr="00863181">
        <w:rPr>
          <w:rFonts w:ascii="Cambria" w:hAnsi="Cambria" w:cs="Times New Roman"/>
          <w:noProof/>
          <w:szCs w:val="24"/>
        </w:rPr>
        <w:t xml:space="preserve">, </w:t>
      </w:r>
      <w:r w:rsidRPr="00863181">
        <w:rPr>
          <w:rFonts w:ascii="Cambria" w:hAnsi="Cambria" w:cs="Times New Roman"/>
          <w:i/>
          <w:iCs/>
          <w:noProof/>
          <w:szCs w:val="24"/>
        </w:rPr>
        <w:t>101</w:t>
      </w:r>
      <w:r w:rsidRPr="00863181">
        <w:rPr>
          <w:rFonts w:ascii="Cambria" w:hAnsi="Cambria" w:cs="Times New Roman"/>
          <w:noProof/>
          <w:szCs w:val="24"/>
        </w:rPr>
        <w:t>, 321–340. https://doi.org/10.1016/j.biomaterials.2016.06.018</w:t>
      </w:r>
    </w:p>
    <w:p w14:paraId="6CB1EBD6" w14:textId="77777777" w:rsidR="00863181" w:rsidRPr="00863181" w:rsidRDefault="00863181" w:rsidP="00863181">
      <w:pPr>
        <w:widowControl w:val="0"/>
        <w:autoSpaceDE w:val="0"/>
        <w:autoSpaceDN w:val="0"/>
        <w:adjustRightInd w:val="0"/>
        <w:spacing w:line="240" w:lineRule="auto"/>
        <w:ind w:left="480" w:hanging="480"/>
        <w:rPr>
          <w:rFonts w:ascii="Cambria" w:hAnsi="Cambria"/>
          <w:noProof/>
        </w:rPr>
      </w:pPr>
      <w:r w:rsidRPr="00863181">
        <w:rPr>
          <w:rFonts w:ascii="Cambria" w:hAnsi="Cambria" w:cs="Times New Roman"/>
          <w:noProof/>
          <w:szCs w:val="24"/>
        </w:rPr>
        <w:t xml:space="preserve">Zorofchian Moghadamtousi, S., Abdul Kadir, H., Hassandarvish, P., Tajik, H., Abubakar, S., &amp; Zandi, K. (2014). A review on antibacterial, antiviral, and antifungal activity of curcumin. </w:t>
      </w:r>
      <w:r w:rsidRPr="00863181">
        <w:rPr>
          <w:rFonts w:ascii="Cambria" w:hAnsi="Cambria" w:cs="Times New Roman"/>
          <w:i/>
          <w:iCs/>
          <w:noProof/>
          <w:szCs w:val="24"/>
        </w:rPr>
        <w:t>BioMed Research International</w:t>
      </w:r>
      <w:r w:rsidRPr="00863181">
        <w:rPr>
          <w:rFonts w:ascii="Cambria" w:hAnsi="Cambria" w:cs="Times New Roman"/>
          <w:noProof/>
          <w:szCs w:val="24"/>
        </w:rPr>
        <w:t xml:space="preserve">, </w:t>
      </w:r>
      <w:r w:rsidRPr="00863181">
        <w:rPr>
          <w:rFonts w:ascii="Cambria" w:hAnsi="Cambria" w:cs="Times New Roman"/>
          <w:i/>
          <w:iCs/>
          <w:noProof/>
          <w:szCs w:val="24"/>
        </w:rPr>
        <w:t>2014</w:t>
      </w:r>
      <w:r w:rsidRPr="00863181">
        <w:rPr>
          <w:rFonts w:ascii="Cambria" w:hAnsi="Cambria" w:cs="Times New Roman"/>
          <w:noProof/>
          <w:szCs w:val="24"/>
        </w:rPr>
        <w:t>. https://doi.org/10.1155/2014/186864</w:t>
      </w:r>
    </w:p>
    <w:p w14:paraId="2073DE22" w14:textId="0BDDD639" w:rsidR="00E469C6" w:rsidRPr="00E469C6" w:rsidRDefault="00E469C6" w:rsidP="00E469C6">
      <w:r w:rsidRPr="00EE63EB">
        <w:rPr>
          <w:rFonts w:ascii="Cambria" w:hAnsi="Cambria"/>
        </w:rPr>
        <w:fldChar w:fldCharType="end"/>
      </w:r>
    </w:p>
    <w:sectPr w:rsidR="00E469C6" w:rsidRPr="00E469C6" w:rsidSect="00E654A3">
      <w:type w:val="continuous"/>
      <w:pgSz w:w="11906" w:h="16838"/>
      <w:pgMar w:top="1701" w:right="1134" w:bottom="1134" w:left="1134" w:header="720" w:footer="720" w:gutter="0"/>
      <w:cols w:num="2" w:space="720" w:equalWidth="0">
        <w:col w:w="4591" w:space="454"/>
        <w:col w:w="4591" w:space="0"/>
      </w:cols>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gus Hendra" w:date="2022-04-22T01:20:00Z" w:initials="AH">
    <w:p w14:paraId="763BA7ED" w14:textId="41B25238" w:rsidR="005259FA" w:rsidRDefault="005259FA">
      <w:pPr>
        <w:pStyle w:val="CommentText"/>
      </w:pPr>
      <w:r>
        <w:rPr>
          <w:rStyle w:val="CommentReference"/>
        </w:rPr>
        <w:annotationRef/>
      </w:r>
      <w:proofErr w:type="spellStart"/>
      <w:r>
        <w:t>Lihat</w:t>
      </w:r>
      <w:proofErr w:type="spellEnd"/>
      <w:r>
        <w:t xml:space="preserve"> Kembali Template </w:t>
      </w:r>
      <w:proofErr w:type="spellStart"/>
      <w:r>
        <w:t>dalam</w:t>
      </w:r>
      <w:proofErr w:type="spellEnd"/>
      <w:r>
        <w:t xml:space="preserve"> </w:t>
      </w:r>
      <w:proofErr w:type="spellStart"/>
      <w:r>
        <w:t>penulisan</w:t>
      </w:r>
      <w:proofErr w:type="spellEnd"/>
      <w:r>
        <w:t xml:space="preserve"> </w:t>
      </w:r>
      <w:proofErr w:type="spellStart"/>
      <w:r>
        <w:t>Judul</w:t>
      </w:r>
      <w:proofErr w:type="spellEnd"/>
    </w:p>
  </w:comment>
  <w:comment w:id="4" w:author="Agus Hendra" w:date="2022-04-22T01:24:00Z" w:initials="AH">
    <w:p w14:paraId="48FCB3F2" w14:textId="76174321" w:rsidR="005259FA" w:rsidRDefault="005259FA">
      <w:pPr>
        <w:pStyle w:val="CommentText"/>
      </w:pPr>
      <w:r>
        <w:rPr>
          <w:rStyle w:val="CommentReference"/>
        </w:rPr>
        <w:annotationRef/>
      </w:r>
      <w:r>
        <w:t xml:space="preserve">Mohon </w:t>
      </w:r>
      <w:proofErr w:type="spellStart"/>
      <w:r>
        <w:t>dapat</w:t>
      </w:r>
      <w:proofErr w:type="spellEnd"/>
      <w:r>
        <w:t xml:space="preserve"> </w:t>
      </w:r>
      <w:proofErr w:type="spellStart"/>
      <w:r>
        <w:t>disesuaikan</w:t>
      </w:r>
      <w:proofErr w:type="spellEnd"/>
      <w:r>
        <w:t xml:space="preserve"> Kembali. </w:t>
      </w:r>
      <w:proofErr w:type="spellStart"/>
      <w:r>
        <w:t>Ingat</w:t>
      </w:r>
      <w:proofErr w:type="spellEnd"/>
      <w:r>
        <w:t xml:space="preserve">, </w:t>
      </w:r>
      <w:proofErr w:type="spellStart"/>
      <w:r>
        <w:t>bahwa</w:t>
      </w:r>
      <w:proofErr w:type="spellEnd"/>
      <w:r>
        <w:t xml:space="preserve"> </w:t>
      </w:r>
      <w:proofErr w:type="gramStart"/>
      <w:r w:rsidRPr="005259FA">
        <w:rPr>
          <w:b/>
          <w:bCs/>
        </w:rPr>
        <w:t>Abstract</w:t>
      </w:r>
      <w:r>
        <w:t xml:space="preserve">  </w:t>
      </w:r>
      <w:proofErr w:type="spellStart"/>
      <w:r>
        <w:t>ditulis</w:t>
      </w:r>
      <w:proofErr w:type="spellEnd"/>
      <w:proofErr w:type="gramEnd"/>
      <w:r>
        <w:t xml:space="preserve"> </w:t>
      </w:r>
      <w:proofErr w:type="spellStart"/>
      <w:r>
        <w:t>dalam</w:t>
      </w:r>
      <w:proofErr w:type="spellEnd"/>
      <w:r>
        <w:t xml:space="preserve"> </w:t>
      </w:r>
      <w:proofErr w:type="spellStart"/>
      <w:r>
        <w:t>bentuk</w:t>
      </w:r>
      <w:proofErr w:type="spellEnd"/>
      <w:r>
        <w:t xml:space="preserve"> past-tense</w:t>
      </w:r>
    </w:p>
  </w:comment>
  <w:comment w:id="5" w:author="Agus Hendra" w:date="2022-04-22T01:21:00Z" w:initials="AH">
    <w:p w14:paraId="71090B7A" w14:textId="6CCE7240" w:rsidR="005259FA" w:rsidRDefault="005259FA">
      <w:pPr>
        <w:pStyle w:val="CommentText"/>
      </w:pPr>
      <w:r>
        <w:rPr>
          <w:rStyle w:val="CommentReference"/>
        </w:rPr>
        <w:annotationRef/>
      </w:r>
      <w:proofErr w:type="spellStart"/>
      <w:r>
        <w:t>Tambahkan</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tujuan</w:t>
      </w:r>
      <w:proofErr w:type="spellEnd"/>
      <w:r>
        <w:t xml:space="preserve"> </w:t>
      </w:r>
      <w:proofErr w:type="spellStart"/>
      <w:r>
        <w:t>umum</w:t>
      </w:r>
      <w:proofErr w:type="spellEnd"/>
      <w:r>
        <w:t>)</w:t>
      </w:r>
    </w:p>
  </w:comment>
  <w:comment w:id="6" w:author="Agus Hendra" w:date="2022-04-22T01:22:00Z" w:initials="AH">
    <w:p w14:paraId="06095A1B" w14:textId="6FD79AC5" w:rsidR="005259FA" w:rsidRDefault="005259FA">
      <w:pPr>
        <w:pStyle w:val="CommentText"/>
      </w:pPr>
      <w:r>
        <w:rPr>
          <w:rStyle w:val="CommentReference"/>
        </w:rPr>
        <w:annotationRef/>
      </w:r>
      <w:proofErr w:type="spellStart"/>
      <w:r>
        <w:t>Jelaskan</w:t>
      </w:r>
      <w:proofErr w:type="spellEnd"/>
      <w:r>
        <w:t xml:space="preserve"> </w:t>
      </w:r>
      <w:proofErr w:type="spellStart"/>
      <w:r>
        <w:t>secara</w:t>
      </w:r>
      <w:proofErr w:type="spellEnd"/>
      <w:r>
        <w:t xml:space="preserve"> </w:t>
      </w:r>
      <w:proofErr w:type="spellStart"/>
      <w:r>
        <w:t>ringkas</w:t>
      </w:r>
      <w:proofErr w:type="spellEnd"/>
      <w:r>
        <w:t xml:space="preserve"> </w:t>
      </w:r>
      <w:proofErr w:type="spellStart"/>
      <w:r>
        <w:t>yaitu</w:t>
      </w:r>
      <w:proofErr w:type="spellEnd"/>
      <w:r>
        <w:t xml:space="preserve"> model </w:t>
      </w:r>
      <w:proofErr w:type="spellStart"/>
      <w:r>
        <w:t>intervensi</w:t>
      </w:r>
      <w:proofErr w:type="spellEnd"/>
      <w:r>
        <w:t xml:space="preserve">, Teknik </w:t>
      </w:r>
      <w:proofErr w:type="spellStart"/>
      <w:r>
        <w:t>pengumpulan</w:t>
      </w:r>
      <w:proofErr w:type="spellEnd"/>
      <w:r>
        <w:t xml:space="preserve"> dan </w:t>
      </w:r>
      <w:proofErr w:type="spellStart"/>
      <w:r>
        <w:t>pengolahan</w:t>
      </w:r>
      <w:proofErr w:type="spellEnd"/>
      <w:r>
        <w:t xml:space="preserve"> data</w:t>
      </w:r>
    </w:p>
  </w:comment>
  <w:comment w:id="7" w:author="Wilda Yunieswati" w:date="2022-04-23T07:12:00Z" w:initials="WY">
    <w:p w14:paraId="55C052A2" w14:textId="0210ECD8" w:rsidR="00A45DBD" w:rsidRDefault="00A45DBD">
      <w:pPr>
        <w:pStyle w:val="CommentText"/>
      </w:pPr>
      <w:r>
        <w:rPr>
          <w:rStyle w:val="CommentReference"/>
        </w:rPr>
        <w:annotationRef/>
      </w:r>
      <w:proofErr w:type="spellStart"/>
      <w:r w:rsidR="00863181">
        <w:t>Penelitian</w:t>
      </w:r>
      <w:proofErr w:type="spellEnd"/>
      <w:r w:rsidR="00863181">
        <w:t xml:space="preserve"> </w:t>
      </w:r>
      <w:proofErr w:type="spellStart"/>
      <w:r w:rsidR="00863181">
        <w:t>ini</w:t>
      </w:r>
      <w:proofErr w:type="spellEnd"/>
      <w:r w:rsidR="00863181">
        <w:t xml:space="preserve"> </w:t>
      </w:r>
      <w:proofErr w:type="spellStart"/>
      <w:r w:rsidR="00863181">
        <w:t>merupakan</w:t>
      </w:r>
      <w:proofErr w:type="spellEnd"/>
      <w:r w:rsidR="00863181">
        <w:t xml:space="preserve"> </w:t>
      </w:r>
      <w:r>
        <w:t>uji organoleptic</w:t>
      </w:r>
      <w:r w:rsidR="00863181">
        <w:t xml:space="preserve">, </w:t>
      </w:r>
      <w:proofErr w:type="spellStart"/>
      <w:r w:rsidR="00863181">
        <w:t>belum</w:t>
      </w:r>
      <w:proofErr w:type="spellEnd"/>
      <w:r w:rsidR="00863181">
        <w:t xml:space="preserve"> uji </w:t>
      </w:r>
      <w:proofErr w:type="spellStart"/>
      <w:r w:rsidR="00863181">
        <w:t>intervensi</w:t>
      </w:r>
      <w:proofErr w:type="spellEnd"/>
    </w:p>
  </w:comment>
  <w:comment w:id="8" w:author="Agus Hendra" w:date="2022-04-22T01:23:00Z" w:initials="AH">
    <w:p w14:paraId="3D5968DC" w14:textId="1E037B00" w:rsidR="005259FA" w:rsidRDefault="005259FA">
      <w:pPr>
        <w:pStyle w:val="CommentText"/>
      </w:pPr>
      <w:r>
        <w:rPr>
          <w:rStyle w:val="CommentReference"/>
        </w:rPr>
        <w:annotationRef/>
      </w:r>
      <w:proofErr w:type="spellStart"/>
      <w:r>
        <w:t>Mungkin</w:t>
      </w:r>
      <w:proofErr w:type="spellEnd"/>
      <w:r>
        <w:t xml:space="preserve"> </w:t>
      </w:r>
      <w:proofErr w:type="spellStart"/>
      <w:r>
        <w:t>ini</w:t>
      </w:r>
      <w:proofErr w:type="spellEnd"/>
      <w:r>
        <w:t xml:space="preserve"> </w:t>
      </w:r>
      <w:proofErr w:type="spellStart"/>
      <w:r>
        <w:t>masuk</w:t>
      </w:r>
      <w:proofErr w:type="spellEnd"/>
      <w:r>
        <w:t xml:space="preserve"> </w:t>
      </w:r>
      <w:proofErr w:type="spellStart"/>
      <w:r>
        <w:t>kedalam</w:t>
      </w:r>
      <w:proofErr w:type="spellEnd"/>
      <w:r>
        <w:t xml:space="preserve"> </w:t>
      </w:r>
      <w:proofErr w:type="spellStart"/>
      <w:r>
        <w:t>pengolahan</w:t>
      </w:r>
      <w:proofErr w:type="spellEnd"/>
      <w:r>
        <w:t xml:space="preserve"> data. </w:t>
      </w:r>
      <w:proofErr w:type="spellStart"/>
      <w:r>
        <w:t>Analisis</w:t>
      </w:r>
      <w:proofErr w:type="spellEnd"/>
      <w:r>
        <w:t xml:space="preserve"> statis </w:t>
      </w:r>
      <w:proofErr w:type="spellStart"/>
      <w:r>
        <w:t>hanya</w:t>
      </w:r>
      <w:proofErr w:type="spellEnd"/>
      <w:r>
        <w:t xml:space="preserve"> </w:t>
      </w:r>
      <w:proofErr w:type="spellStart"/>
      <w:r>
        <w:t>menggunakan</w:t>
      </w:r>
      <w:proofErr w:type="spellEnd"/>
      <w:r>
        <w:t xml:space="preserve"> </w:t>
      </w:r>
      <w:proofErr w:type="spellStart"/>
      <w:r>
        <w:t>Anova</w:t>
      </w:r>
      <w:proofErr w:type="spellEnd"/>
      <w:r>
        <w:t xml:space="preserve">. </w:t>
      </w:r>
      <w:proofErr w:type="spellStart"/>
      <w:r>
        <w:t>Benar</w:t>
      </w:r>
      <w:proofErr w:type="spellEnd"/>
      <w:r>
        <w:t xml:space="preserve"> </w:t>
      </w:r>
      <w:proofErr w:type="spellStart"/>
      <w:r>
        <w:t>demikian</w:t>
      </w:r>
      <w:proofErr w:type="spellEnd"/>
    </w:p>
  </w:comment>
  <w:comment w:id="9" w:author="Wilda Yunieswati" w:date="2022-04-23T07:16:00Z" w:initials="WY">
    <w:p w14:paraId="73C699E6" w14:textId="6C385DE9" w:rsidR="006765CB" w:rsidRDefault="006765CB">
      <w:pPr>
        <w:pStyle w:val="CommentText"/>
      </w:pPr>
      <w:r>
        <w:rPr>
          <w:rStyle w:val="CommentReference"/>
        </w:rPr>
        <w:annotationRef/>
      </w:r>
      <w:r>
        <w:t xml:space="preserve">Data </w:t>
      </w:r>
      <w:proofErr w:type="spellStart"/>
      <w:r>
        <w:t>kandungan</w:t>
      </w:r>
      <w:proofErr w:type="spellEnd"/>
      <w:r>
        <w:t xml:space="preserve"> </w:t>
      </w:r>
      <w:proofErr w:type="spellStart"/>
      <w:r>
        <w:t>gizi</w:t>
      </w:r>
      <w:proofErr w:type="spellEnd"/>
      <w:r>
        <w:t xml:space="preserve"> dan </w:t>
      </w:r>
      <w:proofErr w:type="spellStart"/>
      <w:r>
        <w:t>antioksidan</w:t>
      </w:r>
      <w:proofErr w:type="spellEnd"/>
      <w:r>
        <w:t xml:space="preserve"> </w:t>
      </w:r>
      <w:proofErr w:type="spellStart"/>
      <w:r>
        <w:t>tidak</w:t>
      </w:r>
      <w:proofErr w:type="spellEnd"/>
      <w:r>
        <w:t xml:space="preserve"> </w:t>
      </w:r>
      <w:proofErr w:type="spellStart"/>
      <w:r>
        <w:t>diuji</w:t>
      </w:r>
      <w:proofErr w:type="spellEnd"/>
      <w:r>
        <w:t xml:space="preserve"> A</w:t>
      </w:r>
      <w:r w:rsidR="0062028A">
        <w:t>NOVA</w:t>
      </w:r>
      <w:r>
        <w:t xml:space="preserve"> </w:t>
      </w:r>
      <w:proofErr w:type="spellStart"/>
      <w:r>
        <w:t>karena</w:t>
      </w:r>
      <w:proofErr w:type="spellEnd"/>
      <w:r>
        <w:t xml:space="preserve"> </w:t>
      </w:r>
      <w:proofErr w:type="spellStart"/>
      <w:r>
        <w:t>hanya</w:t>
      </w:r>
      <w:proofErr w:type="spellEnd"/>
      <w:r>
        <w:t xml:space="preserve"> </w:t>
      </w:r>
      <w:proofErr w:type="spellStart"/>
      <w:r>
        <w:t>ada</w:t>
      </w:r>
      <w:proofErr w:type="spellEnd"/>
      <w:r>
        <w:t xml:space="preserve"> data </w:t>
      </w:r>
      <w:proofErr w:type="spellStart"/>
      <w:r>
        <w:t>dari</w:t>
      </w:r>
      <w:proofErr w:type="spellEnd"/>
      <w:r>
        <w:t xml:space="preserve"> </w:t>
      </w:r>
      <w:proofErr w:type="spellStart"/>
      <w:r>
        <w:t>produk</w:t>
      </w:r>
      <w:proofErr w:type="spellEnd"/>
      <w:r>
        <w:t xml:space="preserve"> </w:t>
      </w:r>
      <w:proofErr w:type="spellStart"/>
      <w:r>
        <w:t>terpilih</w:t>
      </w:r>
      <w:proofErr w:type="spellEnd"/>
      <w:r>
        <w:t>.</w:t>
      </w:r>
    </w:p>
  </w:comment>
  <w:comment w:id="10" w:author="Agus Hendra" w:date="2022-04-22T01:25:00Z" w:initials="AH">
    <w:p w14:paraId="52262458" w14:textId="3AB9958A" w:rsidR="005259FA" w:rsidRDefault="005259FA">
      <w:pPr>
        <w:pStyle w:val="CommentText"/>
      </w:pPr>
      <w:r>
        <w:rPr>
          <w:rStyle w:val="CommentReference"/>
        </w:rPr>
        <w:annotationRef/>
      </w:r>
      <w:r>
        <w:t xml:space="preserve">Kami sangat </w:t>
      </w:r>
      <w:proofErr w:type="spellStart"/>
      <w:r>
        <w:t>mengharapkan</w:t>
      </w:r>
      <w:proofErr w:type="spellEnd"/>
      <w:r>
        <w:t xml:space="preserve">, </w:t>
      </w:r>
      <w:proofErr w:type="spellStart"/>
      <w:r>
        <w:t>khusus</w:t>
      </w:r>
      <w:proofErr w:type="spellEnd"/>
      <w:r>
        <w:t xml:space="preserve"> di </w:t>
      </w:r>
      <w:proofErr w:type="spellStart"/>
      <w:r>
        <w:t>Pendahuluan</w:t>
      </w:r>
      <w:proofErr w:type="spellEnd"/>
      <w:r>
        <w:t xml:space="preserve"> </w:t>
      </w:r>
      <w:proofErr w:type="spellStart"/>
      <w:r>
        <w:t>menggunakan</w:t>
      </w:r>
      <w:proofErr w:type="spellEnd"/>
      <w:r>
        <w:t xml:space="preserve"> </w:t>
      </w:r>
      <w:proofErr w:type="spellStart"/>
      <w:r>
        <w:t>rujukan</w:t>
      </w:r>
      <w:proofErr w:type="spellEnd"/>
      <w:r>
        <w:t xml:space="preserve"> 5 </w:t>
      </w:r>
      <w:proofErr w:type="spellStart"/>
      <w:r>
        <w:t>tahun</w:t>
      </w:r>
      <w:proofErr w:type="spellEnd"/>
      <w:r>
        <w:t xml:space="preserve"> </w:t>
      </w:r>
      <w:proofErr w:type="spellStart"/>
      <w:r>
        <w:t>terakhir</w:t>
      </w:r>
      <w:proofErr w:type="spellEnd"/>
      <w:r>
        <w:t xml:space="preserve"> dan </w:t>
      </w:r>
      <w:proofErr w:type="spellStart"/>
      <w:r>
        <w:t>berasal</w:t>
      </w:r>
      <w:proofErr w:type="spellEnd"/>
      <w:r>
        <w:t xml:space="preserve"> </w:t>
      </w:r>
      <w:proofErr w:type="spellStart"/>
      <w:r>
        <w:t>dari</w:t>
      </w:r>
      <w:proofErr w:type="spellEnd"/>
      <w:r>
        <w:t xml:space="preserve"> </w:t>
      </w:r>
      <w:proofErr w:type="spellStart"/>
      <w:r>
        <w:t>referensi</w:t>
      </w:r>
      <w:proofErr w:type="spellEnd"/>
      <w:r>
        <w:t xml:space="preserve"> primer (</w:t>
      </w:r>
      <w:proofErr w:type="spellStart"/>
      <w:r>
        <w:t>artikel</w:t>
      </w:r>
      <w:proofErr w:type="spellEnd"/>
      <w:r>
        <w:t xml:space="preserve"> </w:t>
      </w:r>
      <w:proofErr w:type="spellStart"/>
      <w:r>
        <w:t>jurnal</w:t>
      </w:r>
      <w:proofErr w:type="spellEnd"/>
      <w:r>
        <w:t xml:space="preserve"> yang </w:t>
      </w:r>
      <w:proofErr w:type="spellStart"/>
      <w:r>
        <w:t>kredible</w:t>
      </w:r>
      <w:proofErr w:type="spellEnd"/>
      <w:r>
        <w:t>)</w:t>
      </w:r>
    </w:p>
  </w:comment>
  <w:comment w:id="11" w:author="Agus Hendra" w:date="2022-04-22T01:25:00Z" w:initials="AH">
    <w:p w14:paraId="75773435" w14:textId="1CBB2278" w:rsidR="005259FA" w:rsidRDefault="005259FA">
      <w:pPr>
        <w:pStyle w:val="CommentText"/>
      </w:pPr>
      <w:r>
        <w:rPr>
          <w:rStyle w:val="CommentReference"/>
        </w:rPr>
        <w:annotationRef/>
      </w:r>
      <w:proofErr w:type="spellStart"/>
      <w:proofErr w:type="gramStart"/>
      <w:r>
        <w:t>Referensi</w:t>
      </w:r>
      <w:proofErr w:type="spellEnd"/>
      <w:r>
        <w:t xml:space="preserve"> ?</w:t>
      </w:r>
      <w:proofErr w:type="gramEnd"/>
    </w:p>
  </w:comment>
  <w:comment w:id="12" w:author="Agus Hendra" w:date="2022-04-22T01:26:00Z" w:initials="AH">
    <w:p w14:paraId="156BEF12" w14:textId="616066D9" w:rsidR="005259FA" w:rsidRDefault="005259FA">
      <w:pPr>
        <w:pStyle w:val="CommentText"/>
      </w:pPr>
      <w:r>
        <w:rPr>
          <w:rStyle w:val="CommentReference"/>
        </w:rPr>
        <w:annotationRef/>
      </w:r>
      <w:proofErr w:type="spellStart"/>
      <w:r>
        <w:t>Lihat</w:t>
      </w:r>
      <w:proofErr w:type="spellEnd"/>
      <w:r>
        <w:t xml:space="preserve"> </w:t>
      </w:r>
      <w:proofErr w:type="spellStart"/>
      <w:r>
        <w:t>contoh</w:t>
      </w:r>
      <w:proofErr w:type="spellEnd"/>
      <w:r>
        <w:t xml:space="preserve"> </w:t>
      </w:r>
      <w:proofErr w:type="spellStart"/>
      <w:r>
        <w:t>tabel</w:t>
      </w:r>
      <w:proofErr w:type="spellEnd"/>
      <w:r>
        <w:t xml:space="preserve"> pada Template </w:t>
      </w:r>
      <w:proofErr w:type="spellStart"/>
      <w:r>
        <w:t>Jurnal</w:t>
      </w:r>
      <w:proofErr w:type="spellEnd"/>
      <w:r>
        <w:t xml:space="preserve"> (garis horizontal (row) </w:t>
      </w:r>
      <w:proofErr w:type="spellStart"/>
      <w:r>
        <w:t>dapat</w:t>
      </w:r>
      <w:proofErr w:type="spellEnd"/>
      <w:r>
        <w:t xml:space="preserve"> </w:t>
      </w:r>
      <w:proofErr w:type="spellStart"/>
      <w:r>
        <w:t>dihapus</w:t>
      </w:r>
      <w:proofErr w:type="spellEnd"/>
      <w:r>
        <w:t xml:space="preserve"> </w:t>
      </w:r>
      <w:proofErr w:type="spellStart"/>
      <w:r>
        <w:t>saja</w:t>
      </w:r>
      <w:proofErr w:type="spellEnd"/>
      <w:r>
        <w:t>)</w:t>
      </w:r>
    </w:p>
  </w:comment>
  <w:comment w:id="13" w:author="Wilda Yunieswati" w:date="2022-04-25T07:25:00Z" w:initials="WY">
    <w:p w14:paraId="012FF6FC" w14:textId="0F4943FC" w:rsidR="00DF3C03" w:rsidRDefault="00DF3C03">
      <w:pPr>
        <w:pStyle w:val="CommentText"/>
      </w:pPr>
      <w:r>
        <w:rPr>
          <w:rStyle w:val="CommentReference"/>
        </w:rPr>
        <w:annotationRef/>
      </w:r>
      <w:r>
        <w:t xml:space="preserve">Tabel </w:t>
      </w:r>
      <w:proofErr w:type="spellStart"/>
      <w:r>
        <w:t>sudah</w:t>
      </w:r>
      <w:proofErr w:type="spellEnd"/>
      <w:r>
        <w:t xml:space="preserve"> </w:t>
      </w:r>
      <w:proofErr w:type="spellStart"/>
      <w:r>
        <w:t>disesuaikan</w:t>
      </w:r>
      <w:proofErr w:type="spellEnd"/>
    </w:p>
  </w:comment>
  <w:comment w:id="14" w:author="Agus Hendra" w:date="2022-04-22T01:27:00Z" w:initials="AH">
    <w:p w14:paraId="6DB66526" w14:textId="136C01C7" w:rsidR="005259FA" w:rsidRDefault="005259FA">
      <w:pPr>
        <w:pStyle w:val="CommentText"/>
      </w:pPr>
      <w:r>
        <w:rPr>
          <w:rStyle w:val="CommentReference"/>
        </w:rPr>
        <w:annotationRef/>
      </w:r>
      <w:proofErr w:type="spellStart"/>
      <w:r>
        <w:t>Sebaiknya</w:t>
      </w:r>
      <w:proofErr w:type="spellEnd"/>
      <w:r>
        <w:t xml:space="preserve"> </w:t>
      </w:r>
      <w:proofErr w:type="spellStart"/>
      <w:r>
        <w:t>tidak</w:t>
      </w:r>
      <w:proofErr w:type="spellEnd"/>
      <w:r>
        <w:t xml:space="preserve"> </w:t>
      </w:r>
      <w:proofErr w:type="spellStart"/>
      <w:r>
        <w:t>mencantumkan</w:t>
      </w:r>
      <w:proofErr w:type="spellEnd"/>
      <w:r>
        <w:t xml:space="preserve"> </w:t>
      </w:r>
      <w:proofErr w:type="spellStart"/>
      <w:r>
        <w:t>Aplikasi</w:t>
      </w:r>
      <w:proofErr w:type="spellEnd"/>
      <w:r>
        <w:t xml:space="preserve"> Ms. </w:t>
      </w:r>
      <w:proofErr w:type="spellStart"/>
      <w:proofErr w:type="gramStart"/>
      <w:r>
        <w:t>Excel,langsung</w:t>
      </w:r>
      <w:proofErr w:type="spellEnd"/>
      <w:proofErr w:type="gramEnd"/>
      <w:r>
        <w:t xml:space="preserve"> </w:t>
      </w:r>
      <w:proofErr w:type="spellStart"/>
      <w:r>
        <w:t>saja</w:t>
      </w:r>
      <w:proofErr w:type="spellEnd"/>
      <w:r>
        <w:t xml:space="preserve"> </w:t>
      </w:r>
      <w:proofErr w:type="spellStart"/>
      <w:r>
        <w:t>karena</w:t>
      </w:r>
      <w:proofErr w:type="spellEnd"/>
      <w:r>
        <w:t xml:space="preserve"> </w:t>
      </w:r>
      <w:proofErr w:type="spellStart"/>
      <w:r>
        <w:t>ini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Anova</w:t>
      </w:r>
      <w:proofErr w:type="spellEnd"/>
    </w:p>
  </w:comment>
  <w:comment w:id="15" w:author="Agus Hendra" w:date="2022-04-22T01:28:00Z" w:initials="AH">
    <w:p w14:paraId="318CFB45" w14:textId="4747EB7C" w:rsidR="005259FA" w:rsidRDefault="005259FA">
      <w:pPr>
        <w:pStyle w:val="CommentText"/>
      </w:pPr>
      <w:r>
        <w:rPr>
          <w:rStyle w:val="CommentReference"/>
        </w:rPr>
        <w:annotationRef/>
      </w:r>
      <w:proofErr w:type="spellStart"/>
      <w:r>
        <w:t>Penulisan</w:t>
      </w:r>
      <w:proofErr w:type="spellEnd"/>
      <w:r>
        <w:t xml:space="preserve"> </w:t>
      </w:r>
      <w:proofErr w:type="spellStart"/>
      <w:r>
        <w:t>sumber</w:t>
      </w:r>
      <w:proofErr w:type="spellEnd"/>
      <w:r>
        <w:t xml:space="preserve"> </w:t>
      </w:r>
      <w:proofErr w:type="spellStart"/>
      <w:r>
        <w:t>bacaan</w:t>
      </w:r>
      <w:proofErr w:type="spellEnd"/>
      <w:r>
        <w:t>/</w:t>
      </w:r>
      <w:proofErr w:type="spellStart"/>
      <w:r>
        <w:t>sitasi</w:t>
      </w:r>
      <w:proofErr w:type="spellEnd"/>
      <w:r>
        <w:t xml:space="preserve">, yang </w:t>
      </w:r>
      <w:proofErr w:type="spellStart"/>
      <w:r>
        <w:t>benar</w:t>
      </w:r>
      <w:proofErr w:type="spellEnd"/>
      <w:r>
        <w:t xml:space="preserve"> (Galanakis, 2020)</w:t>
      </w:r>
    </w:p>
  </w:comment>
  <w:comment w:id="16" w:author="Agus Hendra" w:date="2022-04-22T01:29:00Z" w:initials="AH">
    <w:p w14:paraId="16120D66" w14:textId="77777777" w:rsidR="005259FA" w:rsidRDefault="005259FA" w:rsidP="005259FA">
      <w:pPr>
        <w:pStyle w:val="CommentText"/>
      </w:pPr>
      <w:r>
        <w:rPr>
          <w:rStyle w:val="CommentReference"/>
        </w:rPr>
        <w:annotationRef/>
      </w:r>
      <w:r>
        <w:rPr>
          <w:rStyle w:val="CommentReference"/>
        </w:rPr>
        <w:annotationRef/>
      </w:r>
      <w:proofErr w:type="spellStart"/>
      <w:r>
        <w:t>Lihat</w:t>
      </w:r>
      <w:proofErr w:type="spellEnd"/>
      <w:r>
        <w:t xml:space="preserve"> </w:t>
      </w:r>
      <w:proofErr w:type="spellStart"/>
      <w:r>
        <w:t>contoh</w:t>
      </w:r>
      <w:proofErr w:type="spellEnd"/>
      <w:r>
        <w:t xml:space="preserve"> </w:t>
      </w:r>
      <w:proofErr w:type="spellStart"/>
      <w:r>
        <w:t>tabel</w:t>
      </w:r>
      <w:proofErr w:type="spellEnd"/>
      <w:r>
        <w:t xml:space="preserve"> pada Template </w:t>
      </w:r>
      <w:proofErr w:type="spellStart"/>
      <w:r>
        <w:t>Jurnal</w:t>
      </w:r>
      <w:proofErr w:type="spellEnd"/>
      <w:r>
        <w:t xml:space="preserve"> (garis horizontal (row) </w:t>
      </w:r>
      <w:proofErr w:type="spellStart"/>
      <w:r>
        <w:t>dapat</w:t>
      </w:r>
      <w:proofErr w:type="spellEnd"/>
      <w:r>
        <w:t xml:space="preserve"> </w:t>
      </w:r>
      <w:proofErr w:type="spellStart"/>
      <w:r>
        <w:t>dihapus</w:t>
      </w:r>
      <w:proofErr w:type="spellEnd"/>
      <w:r>
        <w:t xml:space="preserve"> </w:t>
      </w:r>
      <w:proofErr w:type="spellStart"/>
      <w:r>
        <w:t>saja</w:t>
      </w:r>
      <w:proofErr w:type="spellEnd"/>
      <w:r>
        <w:t>)</w:t>
      </w:r>
    </w:p>
    <w:p w14:paraId="4B4D716F" w14:textId="4D98C783" w:rsidR="005259FA" w:rsidRDefault="005259FA">
      <w:pPr>
        <w:pStyle w:val="CommentText"/>
      </w:pPr>
    </w:p>
  </w:comment>
  <w:comment w:id="17" w:author="Agus Hendra" w:date="2022-04-22T01:29:00Z" w:initials="AH">
    <w:p w14:paraId="0A4F3169" w14:textId="77777777" w:rsidR="005259FA" w:rsidRDefault="005259FA" w:rsidP="005259FA">
      <w:pPr>
        <w:pStyle w:val="CommentText"/>
      </w:pPr>
      <w:r>
        <w:rPr>
          <w:rStyle w:val="CommentReference"/>
        </w:rPr>
        <w:annotationRef/>
      </w:r>
      <w:r>
        <w:rPr>
          <w:rStyle w:val="CommentReference"/>
        </w:rPr>
        <w:annotationRef/>
      </w:r>
      <w:proofErr w:type="spellStart"/>
      <w:r>
        <w:t>Lihat</w:t>
      </w:r>
      <w:proofErr w:type="spellEnd"/>
      <w:r>
        <w:t xml:space="preserve"> </w:t>
      </w:r>
      <w:proofErr w:type="spellStart"/>
      <w:r>
        <w:t>contoh</w:t>
      </w:r>
      <w:proofErr w:type="spellEnd"/>
      <w:r>
        <w:t xml:space="preserve"> </w:t>
      </w:r>
      <w:proofErr w:type="spellStart"/>
      <w:r>
        <w:t>tabel</w:t>
      </w:r>
      <w:proofErr w:type="spellEnd"/>
      <w:r>
        <w:t xml:space="preserve"> pada Template </w:t>
      </w:r>
      <w:proofErr w:type="spellStart"/>
      <w:r>
        <w:t>Jurnal</w:t>
      </w:r>
      <w:proofErr w:type="spellEnd"/>
      <w:r>
        <w:t xml:space="preserve"> (garis horizontal (row) </w:t>
      </w:r>
      <w:proofErr w:type="spellStart"/>
      <w:r>
        <w:t>dapat</w:t>
      </w:r>
      <w:proofErr w:type="spellEnd"/>
      <w:r>
        <w:t xml:space="preserve"> </w:t>
      </w:r>
      <w:proofErr w:type="spellStart"/>
      <w:r>
        <w:t>dihapus</w:t>
      </w:r>
      <w:proofErr w:type="spellEnd"/>
      <w:r>
        <w:t xml:space="preserve"> </w:t>
      </w:r>
      <w:proofErr w:type="spellStart"/>
      <w:r>
        <w:t>saja</w:t>
      </w:r>
      <w:proofErr w:type="spellEnd"/>
      <w:r>
        <w:t>)</w:t>
      </w:r>
    </w:p>
    <w:p w14:paraId="3B29A5A9" w14:textId="1B273C9F" w:rsidR="005259FA" w:rsidRDefault="005259FA">
      <w:pPr>
        <w:pStyle w:val="CommentText"/>
      </w:pPr>
    </w:p>
  </w:comment>
  <w:comment w:id="18" w:author="Agus Hendra" w:date="2022-04-22T01:29:00Z" w:initials="AH">
    <w:p w14:paraId="5078A5C7" w14:textId="77777777" w:rsidR="005259FA" w:rsidRDefault="005259FA" w:rsidP="005259FA">
      <w:pPr>
        <w:pStyle w:val="CommentText"/>
      </w:pPr>
      <w:r>
        <w:rPr>
          <w:rStyle w:val="CommentReference"/>
        </w:rPr>
        <w:annotationRef/>
      </w:r>
      <w:r>
        <w:rPr>
          <w:rStyle w:val="CommentReference"/>
        </w:rPr>
        <w:annotationRef/>
      </w:r>
      <w:proofErr w:type="spellStart"/>
      <w:r>
        <w:t>Lihat</w:t>
      </w:r>
      <w:proofErr w:type="spellEnd"/>
      <w:r>
        <w:t xml:space="preserve"> </w:t>
      </w:r>
      <w:proofErr w:type="spellStart"/>
      <w:r>
        <w:t>contoh</w:t>
      </w:r>
      <w:proofErr w:type="spellEnd"/>
      <w:r>
        <w:t xml:space="preserve"> </w:t>
      </w:r>
      <w:proofErr w:type="spellStart"/>
      <w:r>
        <w:t>tabel</w:t>
      </w:r>
      <w:proofErr w:type="spellEnd"/>
      <w:r>
        <w:t xml:space="preserve"> pada Template </w:t>
      </w:r>
      <w:proofErr w:type="spellStart"/>
      <w:r>
        <w:t>Jurnal</w:t>
      </w:r>
      <w:proofErr w:type="spellEnd"/>
      <w:r>
        <w:t xml:space="preserve"> (garis horizontal (row) </w:t>
      </w:r>
      <w:proofErr w:type="spellStart"/>
      <w:r>
        <w:t>dapat</w:t>
      </w:r>
      <w:proofErr w:type="spellEnd"/>
      <w:r>
        <w:t xml:space="preserve"> </w:t>
      </w:r>
      <w:proofErr w:type="spellStart"/>
      <w:r>
        <w:t>dihapus</w:t>
      </w:r>
      <w:proofErr w:type="spellEnd"/>
      <w:r>
        <w:t xml:space="preserve"> </w:t>
      </w:r>
      <w:proofErr w:type="spellStart"/>
      <w:r>
        <w:t>saja</w:t>
      </w:r>
      <w:proofErr w:type="spellEnd"/>
      <w:r>
        <w:t>)</w:t>
      </w:r>
    </w:p>
    <w:p w14:paraId="653CCD05" w14:textId="3F7C92DE" w:rsidR="005259FA" w:rsidRDefault="005259FA">
      <w:pPr>
        <w:pStyle w:val="CommentText"/>
      </w:pPr>
    </w:p>
  </w:comment>
  <w:comment w:id="19" w:author="Agus Hendra" w:date="2022-04-22T01:29:00Z" w:initials="AH">
    <w:p w14:paraId="197C4019" w14:textId="77777777" w:rsidR="005259FA" w:rsidRDefault="005259FA" w:rsidP="005259FA">
      <w:pPr>
        <w:pStyle w:val="CommentText"/>
      </w:pPr>
      <w:r>
        <w:rPr>
          <w:rStyle w:val="CommentReference"/>
        </w:rPr>
        <w:annotationRef/>
      </w:r>
      <w:r>
        <w:rPr>
          <w:rStyle w:val="CommentReference"/>
        </w:rPr>
        <w:annotationRef/>
      </w:r>
      <w:proofErr w:type="spellStart"/>
      <w:r>
        <w:t>Lihat</w:t>
      </w:r>
      <w:proofErr w:type="spellEnd"/>
      <w:r>
        <w:t xml:space="preserve"> </w:t>
      </w:r>
      <w:proofErr w:type="spellStart"/>
      <w:r>
        <w:t>contoh</w:t>
      </w:r>
      <w:proofErr w:type="spellEnd"/>
      <w:r>
        <w:t xml:space="preserve"> </w:t>
      </w:r>
      <w:proofErr w:type="spellStart"/>
      <w:r>
        <w:t>tabel</w:t>
      </w:r>
      <w:proofErr w:type="spellEnd"/>
      <w:r>
        <w:t xml:space="preserve"> pada Template </w:t>
      </w:r>
      <w:proofErr w:type="spellStart"/>
      <w:r>
        <w:t>Jurnal</w:t>
      </w:r>
      <w:proofErr w:type="spellEnd"/>
      <w:r>
        <w:t xml:space="preserve"> (garis horizontal (row) </w:t>
      </w:r>
      <w:proofErr w:type="spellStart"/>
      <w:r>
        <w:t>dapat</w:t>
      </w:r>
      <w:proofErr w:type="spellEnd"/>
      <w:r>
        <w:t xml:space="preserve"> </w:t>
      </w:r>
      <w:proofErr w:type="spellStart"/>
      <w:r>
        <w:t>dihapus</w:t>
      </w:r>
      <w:proofErr w:type="spellEnd"/>
      <w:r>
        <w:t xml:space="preserve"> </w:t>
      </w:r>
      <w:proofErr w:type="spellStart"/>
      <w:r>
        <w:t>saja</w:t>
      </w:r>
      <w:proofErr w:type="spellEnd"/>
      <w:r>
        <w:t>)</w:t>
      </w:r>
    </w:p>
    <w:p w14:paraId="792AD509" w14:textId="4EB3B7E1" w:rsidR="005259FA" w:rsidRDefault="005259FA">
      <w:pPr>
        <w:pStyle w:val="CommentText"/>
      </w:pPr>
    </w:p>
  </w:comment>
  <w:comment w:id="20" w:author="Agus Hendra" w:date="2022-04-22T01:30:00Z" w:initials="AH">
    <w:p w14:paraId="144EF5B4" w14:textId="77777777" w:rsidR="005259FA" w:rsidRDefault="005259FA">
      <w:pPr>
        <w:pStyle w:val="CommentText"/>
      </w:pPr>
      <w:r>
        <w:rPr>
          <w:rStyle w:val="CommentReference"/>
        </w:rPr>
        <w:annotationRef/>
      </w:r>
      <w:proofErr w:type="spellStart"/>
      <w:r>
        <w:t>Penting</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kesimpulan</w:t>
      </w:r>
      <w:proofErr w:type="spellEnd"/>
      <w:r>
        <w:t xml:space="preserve"> </w:t>
      </w:r>
      <w:proofErr w:type="spellStart"/>
      <w:r>
        <w:t>tidak</w:t>
      </w:r>
      <w:proofErr w:type="spellEnd"/>
      <w:r>
        <w:t xml:space="preserve"> </w:t>
      </w:r>
      <w:proofErr w:type="spellStart"/>
      <w:r>
        <w:t>mengulangi</w:t>
      </w:r>
      <w:proofErr w:type="spellEnd"/>
      <w:r>
        <w:t xml:space="preserve"> </w:t>
      </w:r>
      <w:proofErr w:type="spellStart"/>
      <w:r>
        <w:t>hasil</w:t>
      </w:r>
      <w:proofErr w:type="spellEnd"/>
      <w:r>
        <w:t xml:space="preserve">. Tidak </w:t>
      </w:r>
      <w:proofErr w:type="spellStart"/>
      <w:r>
        <w:t>perlu</w:t>
      </w:r>
      <w:proofErr w:type="spellEnd"/>
      <w:r>
        <w:t xml:space="preserve"> </w:t>
      </w:r>
      <w:proofErr w:type="spellStart"/>
      <w:r>
        <w:t>menampilkan</w:t>
      </w:r>
      <w:proofErr w:type="spellEnd"/>
      <w:r>
        <w:t xml:space="preserve"> </w:t>
      </w:r>
      <w:proofErr w:type="spellStart"/>
      <w:r>
        <w:t>lagi</w:t>
      </w:r>
      <w:proofErr w:type="spellEnd"/>
      <w:r>
        <w:t xml:space="preserve"> </w:t>
      </w:r>
      <w:proofErr w:type="spellStart"/>
      <w:r>
        <w:t>angka-angka</w:t>
      </w:r>
      <w:proofErr w:type="spellEnd"/>
      <w:r>
        <w:t xml:space="preserve"> </w:t>
      </w:r>
      <w:proofErr w:type="spellStart"/>
      <w:r>
        <w:t>statistik</w:t>
      </w:r>
      <w:proofErr w:type="spellEnd"/>
      <w:r>
        <w:t xml:space="preserve">, </w:t>
      </w:r>
      <w:proofErr w:type="spellStart"/>
      <w:r>
        <w:t>cukup</w:t>
      </w:r>
      <w:proofErr w:type="spellEnd"/>
      <w:r>
        <w:t xml:space="preserve"> </w:t>
      </w:r>
      <w:proofErr w:type="spellStart"/>
      <w:r>
        <w:t>menjawan</w:t>
      </w:r>
      <w:proofErr w:type="spellEnd"/>
      <w:r>
        <w:t xml:space="preserve"> </w:t>
      </w:r>
      <w:proofErr w:type="spellStart"/>
      <w:r>
        <w:t>tujuan</w:t>
      </w:r>
      <w:proofErr w:type="spellEnd"/>
      <w:r>
        <w:t>.</w:t>
      </w:r>
    </w:p>
    <w:p w14:paraId="6812605F" w14:textId="77777777" w:rsidR="005259FA" w:rsidRDefault="005259FA">
      <w:pPr>
        <w:pStyle w:val="CommentText"/>
      </w:pPr>
    </w:p>
    <w:p w14:paraId="291B24BE" w14:textId="37AB31A0" w:rsidR="005259FA" w:rsidRDefault="005259FA">
      <w:pPr>
        <w:pStyle w:val="CommentText"/>
      </w:pPr>
      <w:r>
        <w:t xml:space="preserve">Saran, </w:t>
      </w:r>
      <w:proofErr w:type="spellStart"/>
      <w:r>
        <w:t>belum</w:t>
      </w:r>
      <w:proofErr w:type="spellEnd"/>
      <w:r>
        <w:t xml:space="preserve"> </w:t>
      </w:r>
      <w:proofErr w:type="spellStart"/>
      <w:r>
        <w:t>ada</w:t>
      </w:r>
      <w:proofErr w:type="spellEnd"/>
      <w:r>
        <w:t xml:space="preserve">. </w:t>
      </w:r>
      <w:proofErr w:type="spellStart"/>
      <w:r>
        <w:t>Tambahkan</w:t>
      </w:r>
      <w:proofErr w:type="spellEnd"/>
    </w:p>
  </w:comment>
  <w:comment w:id="21" w:author="Wilda Yunieswati" w:date="2022-04-25T07:24:00Z" w:initials="WY">
    <w:p w14:paraId="2611264B" w14:textId="7483D930" w:rsidR="00DF3C03" w:rsidRDefault="00DF3C03">
      <w:pPr>
        <w:pStyle w:val="CommentText"/>
      </w:pPr>
      <w:r>
        <w:rPr>
          <w:rStyle w:val="CommentReference"/>
        </w:rPr>
        <w:annotationRef/>
      </w:r>
      <w:proofErr w:type="spellStart"/>
      <w:r>
        <w:t>Sudah</w:t>
      </w:r>
      <w:proofErr w:type="spellEnd"/>
      <w:r>
        <w:t xml:space="preserve"> </w:t>
      </w:r>
      <w:proofErr w:type="spellStart"/>
      <w:r>
        <w:t>ditambahkan</w:t>
      </w:r>
      <w:proofErr w:type="spellEnd"/>
      <w:r>
        <w:t xml:space="preserve"> dan </w:t>
      </w:r>
      <w:proofErr w:type="spellStart"/>
      <w:r>
        <w:t>disesuaikan</w:t>
      </w:r>
      <w:proofErr w:type="spellEnd"/>
    </w:p>
  </w:comment>
  <w:comment w:id="22" w:author="Agus Hendra" w:date="2022-04-22T01:31:00Z" w:initials="AH">
    <w:p w14:paraId="028EEF66" w14:textId="77777777" w:rsidR="005259FA" w:rsidRDefault="005259FA">
      <w:pPr>
        <w:pStyle w:val="CommentText"/>
      </w:pPr>
      <w:r>
        <w:rPr>
          <w:rStyle w:val="CommentReference"/>
        </w:rPr>
        <w:annotationRef/>
      </w:r>
      <w:proofErr w:type="spellStart"/>
      <w:r>
        <w:t>Perhatikan</w:t>
      </w:r>
      <w:proofErr w:type="spellEnd"/>
      <w:r>
        <w:t xml:space="preserve"> Kembali </w:t>
      </w:r>
      <w:proofErr w:type="spellStart"/>
      <w:r>
        <w:t>penulisan</w:t>
      </w:r>
      <w:proofErr w:type="spellEnd"/>
      <w:r>
        <w:t xml:space="preserve"> </w:t>
      </w:r>
      <w:proofErr w:type="spellStart"/>
      <w:r>
        <w:t>Referensi</w:t>
      </w:r>
      <w:proofErr w:type="spellEnd"/>
      <w:r>
        <w:t xml:space="preserve">. Masih </w:t>
      </w:r>
      <w:proofErr w:type="spellStart"/>
      <w:r>
        <w:t>ditemukan</w:t>
      </w:r>
      <w:proofErr w:type="spellEnd"/>
      <w:r>
        <w:t>:</w:t>
      </w:r>
    </w:p>
    <w:p w14:paraId="7E8BEFDE" w14:textId="77777777" w:rsidR="005259FA" w:rsidRDefault="005259FA" w:rsidP="005259FA">
      <w:pPr>
        <w:pStyle w:val="CommentText"/>
        <w:numPr>
          <w:ilvl w:val="0"/>
          <w:numId w:val="3"/>
        </w:numPr>
      </w:pPr>
      <w:r>
        <w:t xml:space="preserve">Bahasa </w:t>
      </w:r>
      <w:proofErr w:type="spellStart"/>
      <w:r>
        <w:t>china</w:t>
      </w:r>
      <w:proofErr w:type="spellEnd"/>
      <w:r>
        <w:t xml:space="preserve">, </w:t>
      </w:r>
      <w:proofErr w:type="spellStart"/>
      <w:r>
        <w:t>sebaiknya</w:t>
      </w:r>
      <w:proofErr w:type="spellEnd"/>
      <w:r>
        <w:t xml:space="preserve"> </w:t>
      </w:r>
      <w:proofErr w:type="spellStart"/>
      <w:r>
        <w:t>dirubah</w:t>
      </w:r>
      <w:proofErr w:type="spellEnd"/>
    </w:p>
    <w:p w14:paraId="3D9B9C9E" w14:textId="6EA23E6E" w:rsidR="005259FA" w:rsidRDefault="005259FA" w:rsidP="005259FA">
      <w:pPr>
        <w:pStyle w:val="CommentText"/>
        <w:numPr>
          <w:ilvl w:val="0"/>
          <w:numId w:val="3"/>
        </w:numPr>
      </w:pPr>
      <w:proofErr w:type="spellStart"/>
      <w:r>
        <w:t>Referensi</w:t>
      </w:r>
      <w:proofErr w:type="spellEnd"/>
      <w:r>
        <w:t xml:space="preserve"> </w:t>
      </w:r>
      <w:proofErr w:type="spellStart"/>
      <w:r>
        <w:t>dari</w:t>
      </w:r>
      <w:proofErr w:type="spellEnd"/>
      <w:r>
        <w:t xml:space="preserve"> </w:t>
      </w:r>
      <w:proofErr w:type="spellStart"/>
      <w:r>
        <w:t>Jurnal</w:t>
      </w:r>
      <w:proofErr w:type="spellEnd"/>
      <w:r>
        <w:t xml:space="preserve"> </w:t>
      </w:r>
      <w:proofErr w:type="spellStart"/>
      <w:r>
        <w:t>harus</w:t>
      </w:r>
      <w:proofErr w:type="spellEnd"/>
      <w:r>
        <w:t xml:space="preserve"> </w:t>
      </w:r>
      <w:proofErr w:type="spellStart"/>
      <w:r>
        <w:t>memuat</w:t>
      </w:r>
      <w:proofErr w:type="spellEnd"/>
      <w:r>
        <w:t xml:space="preserve">: Nama, </w:t>
      </w:r>
      <w:proofErr w:type="spellStart"/>
      <w:r>
        <w:t>tahun</w:t>
      </w:r>
      <w:proofErr w:type="spellEnd"/>
      <w:r>
        <w:t xml:space="preserve">, </w:t>
      </w:r>
      <w:proofErr w:type="spellStart"/>
      <w:r>
        <w:t>judul</w:t>
      </w:r>
      <w:proofErr w:type="spellEnd"/>
      <w:r>
        <w:t xml:space="preserve">, </w:t>
      </w:r>
      <w:proofErr w:type="spellStart"/>
      <w:r>
        <w:t>jurnal</w:t>
      </w:r>
      <w:proofErr w:type="spellEnd"/>
      <w:r>
        <w:t xml:space="preserve">, volume, no, </w:t>
      </w:r>
      <w:proofErr w:type="spellStart"/>
      <w:r>
        <w:t>halamana</w:t>
      </w:r>
      <w:proofErr w:type="spellEnd"/>
      <w:r>
        <w:t xml:space="preserve">, </w:t>
      </w:r>
      <w:proofErr w:type="spellStart"/>
      <w:r>
        <w:t>doi</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3BA7ED" w15:done="0"/>
  <w15:commentEx w15:paraId="48FCB3F2" w15:done="1"/>
  <w15:commentEx w15:paraId="71090B7A" w15:done="1"/>
  <w15:commentEx w15:paraId="06095A1B" w15:done="0"/>
  <w15:commentEx w15:paraId="55C052A2" w15:paraIdParent="06095A1B" w15:done="0"/>
  <w15:commentEx w15:paraId="3D5968DC" w15:done="0"/>
  <w15:commentEx w15:paraId="73C699E6" w15:paraIdParent="3D5968DC" w15:done="0"/>
  <w15:commentEx w15:paraId="52262458" w15:done="1"/>
  <w15:commentEx w15:paraId="75773435" w15:done="1"/>
  <w15:commentEx w15:paraId="156BEF12" w15:done="0"/>
  <w15:commentEx w15:paraId="012FF6FC" w15:paraIdParent="156BEF12" w15:done="0"/>
  <w15:commentEx w15:paraId="6DB66526" w15:done="1"/>
  <w15:commentEx w15:paraId="318CFB45" w15:done="1"/>
  <w15:commentEx w15:paraId="4B4D716F" w15:done="1"/>
  <w15:commentEx w15:paraId="3B29A5A9" w15:done="1"/>
  <w15:commentEx w15:paraId="653CCD05" w15:done="1"/>
  <w15:commentEx w15:paraId="792AD509" w15:done="1"/>
  <w15:commentEx w15:paraId="291B24BE" w15:done="1"/>
  <w15:commentEx w15:paraId="2611264B" w15:paraIdParent="291B24BE" w15:done="1"/>
  <w15:commentEx w15:paraId="3D9B9C9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8160" w16cex:dateUtc="2022-04-21T18:20:00Z"/>
  <w16cex:commentExtensible w16cex:durableId="260C8248" w16cex:dateUtc="2022-04-21T18:24:00Z"/>
  <w16cex:commentExtensible w16cex:durableId="260C8189" w16cex:dateUtc="2022-04-21T18:21:00Z"/>
  <w16cex:commentExtensible w16cex:durableId="260C81C8" w16cex:dateUtc="2022-04-21T18:22:00Z"/>
  <w16cex:commentExtensible w16cex:durableId="260E2577" w16cex:dateUtc="2022-04-23T00:12:00Z"/>
  <w16cex:commentExtensible w16cex:durableId="260C81FC" w16cex:dateUtc="2022-04-21T18:23:00Z"/>
  <w16cex:commentExtensible w16cex:durableId="260E2633" w16cex:dateUtc="2022-04-23T00:16:00Z"/>
  <w16cex:commentExtensible w16cex:durableId="260C8291" w16cex:dateUtc="2022-04-21T18:25:00Z"/>
  <w16cex:commentExtensible w16cex:durableId="260C8286" w16cex:dateUtc="2022-04-21T18:25:00Z"/>
  <w16cex:commentExtensible w16cex:durableId="260C82E1" w16cex:dateUtc="2022-04-21T18:26:00Z"/>
  <w16cex:commentExtensible w16cex:durableId="2610CB4E" w16cex:dateUtc="2022-04-25T00:25:00Z"/>
  <w16cex:commentExtensible w16cex:durableId="260C8319" w16cex:dateUtc="2022-04-21T18:27:00Z"/>
  <w16cex:commentExtensible w16cex:durableId="260C8338" w16cex:dateUtc="2022-04-21T18:28:00Z"/>
  <w16cex:commentExtensible w16cex:durableId="260C8368" w16cex:dateUtc="2022-04-21T18:29:00Z"/>
  <w16cex:commentExtensible w16cex:durableId="260C8364" w16cex:dateUtc="2022-04-21T18:29:00Z"/>
  <w16cex:commentExtensible w16cex:durableId="260C8389" w16cex:dateUtc="2022-04-21T18:29:00Z"/>
  <w16cex:commentExtensible w16cex:durableId="260C8374" w16cex:dateUtc="2022-04-21T18:29:00Z"/>
  <w16cex:commentExtensible w16cex:durableId="260C839C" w16cex:dateUtc="2022-04-21T18:30:00Z"/>
  <w16cex:commentExtensible w16cex:durableId="2610CB2D" w16cex:dateUtc="2022-04-25T00:24:00Z"/>
  <w16cex:commentExtensible w16cex:durableId="260C83D8" w16cex:dateUtc="2022-04-21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3BA7ED" w16cid:durableId="260C8160"/>
  <w16cid:commentId w16cid:paraId="48FCB3F2" w16cid:durableId="260C8248"/>
  <w16cid:commentId w16cid:paraId="71090B7A" w16cid:durableId="260C8189"/>
  <w16cid:commentId w16cid:paraId="06095A1B" w16cid:durableId="260C81C8"/>
  <w16cid:commentId w16cid:paraId="55C052A2" w16cid:durableId="260E2577"/>
  <w16cid:commentId w16cid:paraId="3D5968DC" w16cid:durableId="260C81FC"/>
  <w16cid:commentId w16cid:paraId="73C699E6" w16cid:durableId="260E2633"/>
  <w16cid:commentId w16cid:paraId="52262458" w16cid:durableId="260C8291"/>
  <w16cid:commentId w16cid:paraId="75773435" w16cid:durableId="260C8286"/>
  <w16cid:commentId w16cid:paraId="156BEF12" w16cid:durableId="260C82E1"/>
  <w16cid:commentId w16cid:paraId="012FF6FC" w16cid:durableId="2610CB4E"/>
  <w16cid:commentId w16cid:paraId="6DB66526" w16cid:durableId="260C8319"/>
  <w16cid:commentId w16cid:paraId="318CFB45" w16cid:durableId="260C8338"/>
  <w16cid:commentId w16cid:paraId="4B4D716F" w16cid:durableId="260C8368"/>
  <w16cid:commentId w16cid:paraId="3B29A5A9" w16cid:durableId="260C8364"/>
  <w16cid:commentId w16cid:paraId="653CCD05" w16cid:durableId="260C8389"/>
  <w16cid:commentId w16cid:paraId="792AD509" w16cid:durableId="260C8374"/>
  <w16cid:commentId w16cid:paraId="291B24BE" w16cid:durableId="260C839C"/>
  <w16cid:commentId w16cid:paraId="2611264B" w16cid:durableId="2610CB2D"/>
  <w16cid:commentId w16cid:paraId="3D9B9C9E" w16cid:durableId="260C83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0C655" w14:textId="77777777" w:rsidR="00DA13BB" w:rsidRDefault="00DA13BB">
      <w:pPr>
        <w:spacing w:after="0" w:line="240" w:lineRule="auto"/>
      </w:pPr>
      <w:r>
        <w:separator/>
      </w:r>
    </w:p>
  </w:endnote>
  <w:endnote w:type="continuationSeparator" w:id="0">
    <w:p w14:paraId="2839C85E" w14:textId="77777777" w:rsidR="00DA13BB" w:rsidRDefault="00DA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etropolis">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tserrat SemiBold">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4F70" w14:textId="77777777" w:rsidR="00C72575" w:rsidRDefault="00C72575">
    <w:pPr>
      <w:widowControl w:val="0"/>
      <w:pBdr>
        <w:top w:val="nil"/>
        <w:left w:val="nil"/>
        <w:bottom w:val="nil"/>
        <w:right w:val="nil"/>
        <w:between w:val="nil"/>
      </w:pBdr>
      <w:spacing w:after="0" w:line="276" w:lineRule="auto"/>
      <w:rPr>
        <w:color w:val="000000"/>
      </w:rPr>
    </w:pPr>
  </w:p>
  <w:tbl>
    <w:tblPr>
      <w:tblStyle w:val="a3"/>
      <w:tblW w:w="9631" w:type="dxa"/>
      <w:tblBorders>
        <w:top w:val="single" w:sz="8" w:space="0" w:color="000000"/>
        <w:left w:val="nil"/>
        <w:bottom w:val="nil"/>
        <w:right w:val="nil"/>
        <w:insideH w:val="single" w:sz="8" w:space="0" w:color="000000"/>
        <w:insideV w:val="nil"/>
      </w:tblBorders>
      <w:tblLayout w:type="fixed"/>
      <w:tblLook w:val="0400" w:firstRow="0" w:lastRow="0" w:firstColumn="0" w:lastColumn="0" w:noHBand="0" w:noVBand="1"/>
    </w:tblPr>
    <w:tblGrid>
      <w:gridCol w:w="4785"/>
      <w:gridCol w:w="4846"/>
    </w:tblGrid>
    <w:tr w:rsidR="00C72575" w14:paraId="59E04F73" w14:textId="77777777">
      <w:tc>
        <w:tcPr>
          <w:tcW w:w="4785" w:type="dxa"/>
        </w:tcPr>
        <w:p w14:paraId="59E04F71" w14:textId="77777777" w:rsidR="00C72575" w:rsidRDefault="00FA4AE5">
          <w:pPr>
            <w:pBdr>
              <w:top w:val="nil"/>
              <w:left w:val="nil"/>
              <w:bottom w:val="nil"/>
              <w:right w:val="nil"/>
              <w:between w:val="nil"/>
            </w:pBdr>
            <w:tabs>
              <w:tab w:val="center" w:pos="4680"/>
              <w:tab w:val="right" w:pos="9360"/>
            </w:tabs>
            <w:ind w:left="-66"/>
            <w:rPr>
              <w:rFonts w:ascii="Cambria" w:eastAsia="Cambria" w:hAnsi="Cambria" w:cs="Cambria"/>
              <w:color w:val="000000"/>
            </w:rPr>
          </w:pPr>
          <w:r>
            <w:rPr>
              <w:rFonts w:ascii="Cambria" w:eastAsia="Cambria" w:hAnsi="Cambria" w:cs="Cambria"/>
              <w:b/>
              <w:i/>
              <w:color w:val="000000"/>
            </w:rPr>
            <w:t>ACTION</w:t>
          </w:r>
          <w:r>
            <w:rPr>
              <w:rFonts w:ascii="Cambria" w:eastAsia="Cambria" w:hAnsi="Cambria" w:cs="Cambria"/>
              <w:color w:val="000000"/>
            </w:rPr>
            <w:t xml:space="preserve">. 2019; 1 – 10 </w:t>
          </w:r>
        </w:p>
      </w:tc>
      <w:tc>
        <w:tcPr>
          <w:tcW w:w="4846" w:type="dxa"/>
        </w:tcPr>
        <w:p w14:paraId="59E04F72" w14:textId="77777777" w:rsidR="00C72575" w:rsidRDefault="00DA13BB">
          <w:pPr>
            <w:pBdr>
              <w:top w:val="nil"/>
              <w:left w:val="nil"/>
              <w:bottom w:val="nil"/>
              <w:right w:val="nil"/>
              <w:between w:val="nil"/>
            </w:pBdr>
            <w:tabs>
              <w:tab w:val="center" w:pos="4680"/>
              <w:tab w:val="right" w:pos="9360"/>
            </w:tabs>
            <w:ind w:left="-111" w:right="-115"/>
            <w:jc w:val="right"/>
            <w:rPr>
              <w:rFonts w:ascii="Cambria" w:eastAsia="Cambria" w:hAnsi="Cambria" w:cs="Cambria"/>
              <w:i/>
              <w:color w:val="000000"/>
            </w:rPr>
          </w:pPr>
          <w:hyperlink r:id="rId1">
            <w:r w:rsidR="00FA4AE5">
              <w:rPr>
                <w:rFonts w:ascii="Cambria" w:eastAsia="Cambria" w:hAnsi="Cambria" w:cs="Cambria"/>
                <w:i/>
                <w:color w:val="0563C1"/>
                <w:u w:val="single"/>
              </w:rPr>
              <w:t>http://ejournal.poltekkesaceh.ac.id/index.php/an</w:t>
            </w:r>
          </w:hyperlink>
        </w:p>
      </w:tc>
    </w:tr>
  </w:tbl>
  <w:p w14:paraId="59E04F74" w14:textId="77777777" w:rsidR="00C72575" w:rsidRDefault="00FA4AE5">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4F383" w14:textId="77777777" w:rsidR="00DA13BB" w:rsidRDefault="00DA13BB">
      <w:pPr>
        <w:spacing w:after="0" w:line="240" w:lineRule="auto"/>
      </w:pPr>
      <w:r>
        <w:separator/>
      </w:r>
    </w:p>
  </w:footnote>
  <w:footnote w:type="continuationSeparator" w:id="0">
    <w:p w14:paraId="62A1A889" w14:textId="77777777" w:rsidR="00DA13BB" w:rsidRDefault="00DA1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4F56" w14:textId="77777777" w:rsidR="00C72575" w:rsidRDefault="00C72575">
    <w:pPr>
      <w:widowControl w:val="0"/>
      <w:pBdr>
        <w:top w:val="nil"/>
        <w:left w:val="nil"/>
        <w:bottom w:val="nil"/>
        <w:right w:val="nil"/>
        <w:between w:val="nil"/>
      </w:pBdr>
      <w:spacing w:after="0" w:line="276" w:lineRule="auto"/>
      <w:rPr>
        <w:color w:val="000000"/>
      </w:rPr>
    </w:pPr>
  </w:p>
  <w:tbl>
    <w:tblPr>
      <w:tblStyle w:val="a2"/>
      <w:tblW w:w="9645" w:type="dxa"/>
      <w:tblBorders>
        <w:top w:val="nil"/>
        <w:left w:val="nil"/>
        <w:bottom w:val="single" w:sz="8" w:space="0" w:color="000000"/>
        <w:right w:val="nil"/>
        <w:insideH w:val="nil"/>
        <w:insideV w:val="single" w:sz="8" w:space="0" w:color="000000"/>
      </w:tblBorders>
      <w:tblLayout w:type="fixed"/>
      <w:tblLook w:val="0400" w:firstRow="0" w:lastRow="0" w:firstColumn="0" w:lastColumn="0" w:noHBand="0" w:noVBand="1"/>
    </w:tblPr>
    <w:tblGrid>
      <w:gridCol w:w="562"/>
      <w:gridCol w:w="4136"/>
      <w:gridCol w:w="4947"/>
    </w:tblGrid>
    <w:tr w:rsidR="00C72575" w14:paraId="59E04F5A" w14:textId="77777777">
      <w:tc>
        <w:tcPr>
          <w:tcW w:w="562" w:type="dxa"/>
          <w:tcBorders>
            <w:bottom w:val="nil"/>
            <w:right w:val="nil"/>
          </w:tcBorders>
        </w:tcPr>
        <w:p w14:paraId="59E04F57" w14:textId="77777777" w:rsidR="00C72575" w:rsidRDefault="00C72575">
          <w:pPr>
            <w:pBdr>
              <w:top w:val="nil"/>
              <w:left w:val="nil"/>
              <w:bottom w:val="nil"/>
              <w:right w:val="nil"/>
              <w:between w:val="nil"/>
            </w:pBdr>
            <w:tabs>
              <w:tab w:val="center" w:pos="4680"/>
              <w:tab w:val="right" w:pos="9360"/>
            </w:tabs>
            <w:rPr>
              <w:rFonts w:ascii="Cambria" w:eastAsia="Cambria" w:hAnsi="Cambria" w:cs="Cambria"/>
              <w:color w:val="000000"/>
            </w:rPr>
          </w:pPr>
        </w:p>
      </w:tc>
      <w:tc>
        <w:tcPr>
          <w:tcW w:w="4136" w:type="dxa"/>
          <w:tcBorders>
            <w:left w:val="nil"/>
            <w:bottom w:val="nil"/>
            <w:right w:val="nil"/>
          </w:tcBorders>
        </w:tcPr>
        <w:p w14:paraId="59E04F58" w14:textId="77777777" w:rsidR="00C72575" w:rsidRDefault="00C72575">
          <w:pPr>
            <w:pBdr>
              <w:top w:val="nil"/>
              <w:left w:val="nil"/>
              <w:bottom w:val="nil"/>
              <w:right w:val="nil"/>
              <w:between w:val="nil"/>
            </w:pBdr>
            <w:tabs>
              <w:tab w:val="center" w:pos="4680"/>
              <w:tab w:val="right" w:pos="9360"/>
            </w:tabs>
            <w:rPr>
              <w:rFonts w:ascii="Cambria" w:eastAsia="Cambria" w:hAnsi="Cambria" w:cs="Cambria"/>
              <w:color w:val="000000"/>
            </w:rPr>
          </w:pPr>
        </w:p>
      </w:tc>
      <w:tc>
        <w:tcPr>
          <w:tcW w:w="4947" w:type="dxa"/>
          <w:tcBorders>
            <w:left w:val="nil"/>
            <w:bottom w:val="nil"/>
          </w:tcBorders>
        </w:tcPr>
        <w:p w14:paraId="59E04F59" w14:textId="77777777" w:rsidR="00C72575" w:rsidRDefault="00C72575">
          <w:pPr>
            <w:pBdr>
              <w:top w:val="nil"/>
              <w:left w:val="nil"/>
              <w:bottom w:val="nil"/>
              <w:right w:val="nil"/>
              <w:between w:val="nil"/>
            </w:pBdr>
            <w:tabs>
              <w:tab w:val="center" w:pos="4680"/>
              <w:tab w:val="right" w:pos="9360"/>
            </w:tabs>
            <w:rPr>
              <w:rFonts w:ascii="Cambria" w:eastAsia="Cambria" w:hAnsi="Cambria" w:cs="Cambria"/>
              <w:color w:val="000000"/>
            </w:rPr>
          </w:pPr>
        </w:p>
      </w:tc>
    </w:tr>
    <w:tr w:rsidR="00C72575" w14:paraId="59E04F5E" w14:textId="77777777">
      <w:tc>
        <w:tcPr>
          <w:tcW w:w="562" w:type="dxa"/>
          <w:tcBorders>
            <w:bottom w:val="nil"/>
            <w:right w:val="nil"/>
          </w:tcBorders>
        </w:tcPr>
        <w:p w14:paraId="59E04F5B" w14:textId="77777777" w:rsidR="00C72575" w:rsidRDefault="00C72575">
          <w:pPr>
            <w:pBdr>
              <w:top w:val="nil"/>
              <w:left w:val="nil"/>
              <w:bottom w:val="nil"/>
              <w:right w:val="nil"/>
              <w:between w:val="nil"/>
            </w:pBdr>
            <w:tabs>
              <w:tab w:val="center" w:pos="4680"/>
              <w:tab w:val="right" w:pos="9360"/>
            </w:tabs>
            <w:rPr>
              <w:rFonts w:ascii="Cambria" w:eastAsia="Cambria" w:hAnsi="Cambria" w:cs="Cambria"/>
              <w:color w:val="000000"/>
            </w:rPr>
          </w:pPr>
        </w:p>
      </w:tc>
      <w:tc>
        <w:tcPr>
          <w:tcW w:w="4136" w:type="dxa"/>
          <w:tcBorders>
            <w:left w:val="nil"/>
            <w:bottom w:val="nil"/>
            <w:right w:val="nil"/>
          </w:tcBorders>
        </w:tcPr>
        <w:p w14:paraId="59E04F5C" w14:textId="77777777" w:rsidR="00C72575" w:rsidRDefault="00C72575">
          <w:pPr>
            <w:pBdr>
              <w:top w:val="nil"/>
              <w:left w:val="nil"/>
              <w:bottom w:val="nil"/>
              <w:right w:val="nil"/>
              <w:between w:val="nil"/>
            </w:pBdr>
            <w:tabs>
              <w:tab w:val="center" w:pos="4680"/>
              <w:tab w:val="right" w:pos="9360"/>
            </w:tabs>
            <w:rPr>
              <w:rFonts w:ascii="Cambria" w:eastAsia="Cambria" w:hAnsi="Cambria" w:cs="Cambria"/>
              <w:color w:val="000000"/>
            </w:rPr>
          </w:pPr>
        </w:p>
      </w:tc>
      <w:tc>
        <w:tcPr>
          <w:tcW w:w="4947" w:type="dxa"/>
          <w:tcBorders>
            <w:left w:val="nil"/>
            <w:bottom w:val="nil"/>
          </w:tcBorders>
        </w:tcPr>
        <w:p w14:paraId="59E04F5D" w14:textId="77777777" w:rsidR="00C72575" w:rsidRDefault="00C72575">
          <w:pPr>
            <w:pBdr>
              <w:top w:val="nil"/>
              <w:left w:val="nil"/>
              <w:bottom w:val="nil"/>
              <w:right w:val="nil"/>
              <w:between w:val="nil"/>
            </w:pBdr>
            <w:tabs>
              <w:tab w:val="center" w:pos="4680"/>
              <w:tab w:val="right" w:pos="9360"/>
            </w:tabs>
            <w:rPr>
              <w:rFonts w:ascii="Cambria" w:eastAsia="Cambria" w:hAnsi="Cambria" w:cs="Cambria"/>
              <w:color w:val="000000"/>
            </w:rPr>
          </w:pPr>
        </w:p>
      </w:tc>
    </w:tr>
    <w:tr w:rsidR="00C72575" w14:paraId="59E04F62" w14:textId="77777777">
      <w:tc>
        <w:tcPr>
          <w:tcW w:w="562" w:type="dxa"/>
          <w:tcBorders>
            <w:top w:val="nil"/>
          </w:tcBorders>
        </w:tcPr>
        <w:p w14:paraId="59E04F5F" w14:textId="254345D3" w:rsidR="00C72575" w:rsidRDefault="00FA4AE5">
          <w:pPr>
            <w:pBdr>
              <w:top w:val="nil"/>
              <w:left w:val="nil"/>
              <w:bottom w:val="nil"/>
              <w:right w:val="nil"/>
              <w:between w:val="nil"/>
            </w:pBdr>
            <w:tabs>
              <w:tab w:val="center" w:pos="4680"/>
              <w:tab w:val="right" w:pos="9360"/>
            </w:tabs>
            <w:ind w:left="-108"/>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9F6C11">
            <w:rPr>
              <w:rFonts w:ascii="Cambria" w:eastAsia="Cambria" w:hAnsi="Cambria" w:cs="Cambria"/>
              <w:noProof/>
              <w:color w:val="000000"/>
            </w:rPr>
            <w:t>2</w:t>
          </w:r>
          <w:r>
            <w:rPr>
              <w:rFonts w:ascii="Cambria" w:eastAsia="Cambria" w:hAnsi="Cambria" w:cs="Cambria"/>
              <w:color w:val="000000"/>
            </w:rPr>
            <w:fldChar w:fldCharType="end"/>
          </w:r>
        </w:p>
      </w:tc>
      <w:tc>
        <w:tcPr>
          <w:tcW w:w="4136" w:type="dxa"/>
          <w:tcBorders>
            <w:top w:val="nil"/>
            <w:bottom w:val="single" w:sz="8" w:space="0" w:color="000000"/>
            <w:right w:val="nil"/>
          </w:tcBorders>
        </w:tcPr>
        <w:p w14:paraId="59E04F60" w14:textId="18A8C697" w:rsidR="00C72575" w:rsidRDefault="00E00E42">
          <w:pPr>
            <w:pBdr>
              <w:top w:val="nil"/>
              <w:left w:val="nil"/>
              <w:bottom w:val="nil"/>
              <w:right w:val="nil"/>
              <w:between w:val="nil"/>
            </w:pBdr>
            <w:tabs>
              <w:tab w:val="center" w:pos="4680"/>
              <w:tab w:val="right" w:pos="9360"/>
            </w:tabs>
            <w:ind w:right="-116"/>
            <w:rPr>
              <w:rFonts w:ascii="Cambria" w:eastAsia="Cambria" w:hAnsi="Cambria" w:cs="Cambria"/>
              <w:b/>
              <w:i/>
              <w:color w:val="000000"/>
            </w:rPr>
          </w:pPr>
          <w:proofErr w:type="spellStart"/>
          <w:r>
            <w:rPr>
              <w:rFonts w:ascii="Cambria" w:eastAsia="Cambria" w:hAnsi="Cambria" w:cs="Cambria"/>
              <w:i/>
              <w:color w:val="000000"/>
            </w:rPr>
            <w:t>Formulasi</w:t>
          </w:r>
          <w:proofErr w:type="spellEnd"/>
          <w:r>
            <w:rPr>
              <w:rFonts w:ascii="Cambria" w:eastAsia="Cambria" w:hAnsi="Cambria" w:cs="Cambria"/>
              <w:i/>
              <w:color w:val="000000"/>
            </w:rPr>
            <w:t xml:space="preserve"> </w:t>
          </w:r>
          <w:proofErr w:type="spellStart"/>
          <w:r>
            <w:rPr>
              <w:rFonts w:ascii="Cambria" w:eastAsia="Cambria" w:hAnsi="Cambria" w:cs="Cambria"/>
              <w:i/>
              <w:color w:val="000000"/>
            </w:rPr>
            <w:t>Biskuit</w:t>
          </w:r>
          <w:proofErr w:type="spellEnd"/>
          <w:r>
            <w:rPr>
              <w:rFonts w:ascii="Cambria" w:eastAsia="Cambria" w:hAnsi="Cambria" w:cs="Cambria"/>
              <w:i/>
              <w:color w:val="000000"/>
            </w:rPr>
            <w:t xml:space="preserve"> Anti-Corona </w:t>
          </w:r>
          <w:proofErr w:type="spellStart"/>
          <w:r>
            <w:rPr>
              <w:rFonts w:ascii="Cambria" w:eastAsia="Cambria" w:hAnsi="Cambria" w:cs="Cambria"/>
              <w:i/>
              <w:color w:val="000000"/>
            </w:rPr>
            <w:t>sebagai</w:t>
          </w:r>
          <w:proofErr w:type="spellEnd"/>
          <w:r>
            <w:rPr>
              <w:rFonts w:ascii="Cambria" w:eastAsia="Cambria" w:hAnsi="Cambria" w:cs="Cambria"/>
              <w:i/>
              <w:color w:val="000000"/>
            </w:rPr>
            <w:t xml:space="preserve"> …</w:t>
          </w:r>
        </w:p>
      </w:tc>
      <w:tc>
        <w:tcPr>
          <w:tcW w:w="4947" w:type="dxa"/>
          <w:tcBorders>
            <w:top w:val="nil"/>
            <w:left w:val="nil"/>
            <w:bottom w:val="single" w:sz="8" w:space="0" w:color="000000"/>
          </w:tcBorders>
        </w:tcPr>
        <w:p w14:paraId="59E04F61" w14:textId="31AA6196" w:rsidR="00C72575" w:rsidRDefault="00E00E42">
          <w:pPr>
            <w:pBdr>
              <w:top w:val="nil"/>
              <w:left w:val="nil"/>
              <w:bottom w:val="nil"/>
              <w:right w:val="nil"/>
              <w:between w:val="nil"/>
            </w:pBdr>
            <w:tabs>
              <w:tab w:val="center" w:pos="4680"/>
              <w:tab w:val="right" w:pos="9360"/>
            </w:tabs>
            <w:ind w:right="-116"/>
            <w:jc w:val="right"/>
            <w:rPr>
              <w:rFonts w:ascii="Cambria" w:eastAsia="Cambria" w:hAnsi="Cambria" w:cs="Cambria"/>
              <w:color w:val="000000"/>
            </w:rPr>
          </w:pPr>
          <w:r>
            <w:rPr>
              <w:rFonts w:ascii="Cambria" w:eastAsia="Cambria" w:hAnsi="Cambria" w:cs="Cambria"/>
              <w:color w:val="000000"/>
            </w:rPr>
            <w:t>Dainy et al.</w:t>
          </w:r>
          <w:r w:rsidR="00FA4AE5">
            <w:rPr>
              <w:rFonts w:ascii="Cambria" w:eastAsia="Cambria" w:hAnsi="Cambria" w:cs="Cambria"/>
              <w:color w:val="000000"/>
            </w:rPr>
            <w:t>.</w:t>
          </w:r>
        </w:p>
      </w:tc>
    </w:tr>
  </w:tbl>
  <w:p w14:paraId="59E04F63" w14:textId="77777777" w:rsidR="00C72575" w:rsidRDefault="00C7257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4F64" w14:textId="77777777" w:rsidR="00C72575" w:rsidRDefault="00C72575">
    <w:pPr>
      <w:widowControl w:val="0"/>
      <w:pBdr>
        <w:top w:val="nil"/>
        <w:left w:val="nil"/>
        <w:bottom w:val="nil"/>
        <w:right w:val="nil"/>
        <w:between w:val="nil"/>
      </w:pBdr>
      <w:spacing w:after="0" w:line="276" w:lineRule="auto"/>
      <w:rPr>
        <w:rFonts w:ascii="Cambria" w:eastAsia="Cambria" w:hAnsi="Cambria" w:cs="Cambria"/>
        <w:color w:val="000000"/>
        <w:sz w:val="24"/>
        <w:szCs w:val="24"/>
      </w:rPr>
    </w:pPr>
  </w:p>
  <w:tbl>
    <w:tblPr>
      <w:tblStyle w:val="a1"/>
      <w:tblW w:w="9617" w:type="dxa"/>
      <w:tblBorders>
        <w:top w:val="nil"/>
        <w:left w:val="nil"/>
        <w:bottom w:val="single" w:sz="8" w:space="0" w:color="000000"/>
        <w:right w:val="nil"/>
        <w:insideH w:val="nil"/>
        <w:insideV w:val="single" w:sz="8" w:space="0" w:color="000000"/>
      </w:tblBorders>
      <w:tblLayout w:type="fixed"/>
      <w:tblLook w:val="0400" w:firstRow="0" w:lastRow="0" w:firstColumn="0" w:lastColumn="0" w:noHBand="0" w:noVBand="1"/>
    </w:tblPr>
    <w:tblGrid>
      <w:gridCol w:w="561"/>
      <w:gridCol w:w="8370"/>
      <w:gridCol w:w="686"/>
    </w:tblGrid>
    <w:tr w:rsidR="00C72575" w14:paraId="59E04F68" w14:textId="77777777">
      <w:tc>
        <w:tcPr>
          <w:tcW w:w="561" w:type="dxa"/>
          <w:tcBorders>
            <w:bottom w:val="nil"/>
            <w:right w:val="nil"/>
          </w:tcBorders>
        </w:tcPr>
        <w:p w14:paraId="59E04F65" w14:textId="77777777" w:rsidR="00C72575" w:rsidRDefault="00C72575">
          <w:pPr>
            <w:pBdr>
              <w:top w:val="nil"/>
              <w:left w:val="nil"/>
              <w:bottom w:val="nil"/>
              <w:right w:val="nil"/>
              <w:between w:val="nil"/>
            </w:pBdr>
            <w:tabs>
              <w:tab w:val="center" w:pos="4680"/>
              <w:tab w:val="right" w:pos="9360"/>
            </w:tabs>
            <w:rPr>
              <w:rFonts w:ascii="Cambria" w:eastAsia="Cambria" w:hAnsi="Cambria" w:cs="Cambria"/>
              <w:color w:val="000000"/>
            </w:rPr>
          </w:pPr>
        </w:p>
      </w:tc>
      <w:tc>
        <w:tcPr>
          <w:tcW w:w="8370" w:type="dxa"/>
          <w:tcBorders>
            <w:left w:val="nil"/>
            <w:bottom w:val="nil"/>
            <w:right w:val="nil"/>
          </w:tcBorders>
        </w:tcPr>
        <w:p w14:paraId="59E04F66" w14:textId="77777777" w:rsidR="00C72575" w:rsidRDefault="00C72575">
          <w:pPr>
            <w:pBdr>
              <w:top w:val="nil"/>
              <w:left w:val="nil"/>
              <w:bottom w:val="nil"/>
              <w:right w:val="nil"/>
              <w:between w:val="nil"/>
            </w:pBdr>
            <w:tabs>
              <w:tab w:val="center" w:pos="4680"/>
              <w:tab w:val="right" w:pos="9360"/>
            </w:tabs>
            <w:rPr>
              <w:rFonts w:ascii="Cambria" w:eastAsia="Cambria" w:hAnsi="Cambria" w:cs="Cambria"/>
              <w:color w:val="000000"/>
            </w:rPr>
          </w:pPr>
        </w:p>
      </w:tc>
      <w:tc>
        <w:tcPr>
          <w:tcW w:w="686" w:type="dxa"/>
          <w:tcBorders>
            <w:left w:val="nil"/>
            <w:bottom w:val="nil"/>
          </w:tcBorders>
        </w:tcPr>
        <w:p w14:paraId="59E04F67" w14:textId="77777777" w:rsidR="00C72575" w:rsidRDefault="00C72575">
          <w:pPr>
            <w:pBdr>
              <w:top w:val="nil"/>
              <w:left w:val="nil"/>
              <w:bottom w:val="nil"/>
              <w:right w:val="nil"/>
              <w:between w:val="nil"/>
            </w:pBdr>
            <w:tabs>
              <w:tab w:val="center" w:pos="4680"/>
              <w:tab w:val="right" w:pos="9360"/>
            </w:tabs>
            <w:rPr>
              <w:rFonts w:ascii="Cambria" w:eastAsia="Cambria" w:hAnsi="Cambria" w:cs="Cambria"/>
              <w:color w:val="000000"/>
            </w:rPr>
          </w:pPr>
        </w:p>
      </w:tc>
    </w:tr>
    <w:tr w:rsidR="00C72575" w14:paraId="59E04F6B" w14:textId="77777777">
      <w:tc>
        <w:tcPr>
          <w:tcW w:w="8931" w:type="dxa"/>
          <w:gridSpan w:val="2"/>
          <w:tcBorders>
            <w:top w:val="nil"/>
            <w:right w:val="nil"/>
          </w:tcBorders>
        </w:tcPr>
        <w:p w14:paraId="59E04F69" w14:textId="77777777" w:rsidR="00C72575" w:rsidRDefault="00C72575">
          <w:pPr>
            <w:pBdr>
              <w:top w:val="nil"/>
              <w:left w:val="nil"/>
              <w:bottom w:val="nil"/>
              <w:right w:val="nil"/>
              <w:between w:val="nil"/>
            </w:pBdr>
            <w:tabs>
              <w:tab w:val="center" w:pos="4680"/>
              <w:tab w:val="right" w:pos="9360"/>
            </w:tabs>
            <w:ind w:left="-120"/>
            <w:rPr>
              <w:rFonts w:ascii="Cambria" w:eastAsia="Cambria" w:hAnsi="Cambria" w:cs="Cambria"/>
              <w:color w:val="000000"/>
            </w:rPr>
          </w:pPr>
        </w:p>
      </w:tc>
      <w:tc>
        <w:tcPr>
          <w:tcW w:w="686" w:type="dxa"/>
          <w:tcBorders>
            <w:left w:val="nil"/>
            <w:bottom w:val="nil"/>
          </w:tcBorders>
        </w:tcPr>
        <w:p w14:paraId="59E04F6A" w14:textId="77777777" w:rsidR="00C72575" w:rsidRDefault="00C72575">
          <w:pPr>
            <w:pBdr>
              <w:top w:val="nil"/>
              <w:left w:val="nil"/>
              <w:bottom w:val="nil"/>
              <w:right w:val="nil"/>
              <w:between w:val="nil"/>
            </w:pBdr>
            <w:tabs>
              <w:tab w:val="center" w:pos="4680"/>
              <w:tab w:val="right" w:pos="9360"/>
            </w:tabs>
            <w:rPr>
              <w:rFonts w:ascii="Cambria" w:eastAsia="Cambria" w:hAnsi="Cambria" w:cs="Cambria"/>
              <w:color w:val="000000"/>
            </w:rPr>
          </w:pPr>
        </w:p>
      </w:tc>
    </w:tr>
    <w:tr w:rsidR="00C72575" w14:paraId="59E04F6E" w14:textId="77777777">
      <w:tc>
        <w:tcPr>
          <w:tcW w:w="8931" w:type="dxa"/>
          <w:gridSpan w:val="2"/>
          <w:tcBorders>
            <w:right w:val="single" w:sz="8" w:space="0" w:color="000000"/>
          </w:tcBorders>
        </w:tcPr>
        <w:p w14:paraId="59E04F6C" w14:textId="77777777" w:rsidR="00C72575" w:rsidRDefault="00FA4AE5">
          <w:pPr>
            <w:pBdr>
              <w:top w:val="nil"/>
              <w:left w:val="nil"/>
              <w:bottom w:val="nil"/>
              <w:right w:val="nil"/>
              <w:between w:val="nil"/>
            </w:pBdr>
            <w:tabs>
              <w:tab w:val="center" w:pos="4680"/>
              <w:tab w:val="right" w:pos="9360"/>
            </w:tabs>
            <w:ind w:left="-52" w:right="-116"/>
            <w:rPr>
              <w:rFonts w:ascii="Cambria" w:eastAsia="Cambria" w:hAnsi="Cambria" w:cs="Cambria"/>
              <w:color w:val="000000"/>
            </w:rPr>
          </w:pPr>
          <w:r>
            <w:rPr>
              <w:rFonts w:ascii="Cambria" w:eastAsia="Cambria" w:hAnsi="Cambria" w:cs="Cambria"/>
              <w:b/>
              <w:i/>
              <w:color w:val="000000"/>
            </w:rPr>
            <w:t>ACTION.</w:t>
          </w:r>
          <w:r>
            <w:rPr>
              <w:rFonts w:ascii="Cambria" w:eastAsia="Cambria" w:hAnsi="Cambria" w:cs="Cambria"/>
              <w:i/>
              <w:color w:val="000000"/>
            </w:rPr>
            <w:t xml:space="preserve"> </w:t>
          </w:r>
          <w:r>
            <w:rPr>
              <w:rFonts w:ascii="Cambria" w:eastAsia="Cambria" w:hAnsi="Cambria" w:cs="Cambria"/>
              <w:color w:val="000000"/>
            </w:rPr>
            <w:t xml:space="preserve">  Vol: x, </w:t>
          </w:r>
          <w:proofErr w:type="spellStart"/>
          <w:r>
            <w:rPr>
              <w:rFonts w:ascii="Cambria" w:eastAsia="Cambria" w:hAnsi="Cambria" w:cs="Cambria"/>
              <w:color w:val="000000"/>
            </w:rPr>
            <w:t>Nomor</w:t>
          </w:r>
          <w:proofErr w:type="spellEnd"/>
          <w:r>
            <w:rPr>
              <w:rFonts w:ascii="Cambria" w:eastAsia="Cambria" w:hAnsi="Cambria" w:cs="Cambria"/>
              <w:color w:val="000000"/>
            </w:rPr>
            <w:t>: x, 2019</w:t>
          </w:r>
        </w:p>
      </w:tc>
      <w:tc>
        <w:tcPr>
          <w:tcW w:w="686" w:type="dxa"/>
          <w:tcBorders>
            <w:left w:val="single" w:sz="8" w:space="0" w:color="000000"/>
            <w:bottom w:val="single" w:sz="8" w:space="0" w:color="000000"/>
          </w:tcBorders>
        </w:tcPr>
        <w:p w14:paraId="59E04F6D" w14:textId="0DECFAED" w:rsidR="00C72575" w:rsidRDefault="00FA4AE5">
          <w:pPr>
            <w:pBdr>
              <w:top w:val="nil"/>
              <w:left w:val="nil"/>
              <w:bottom w:val="nil"/>
              <w:right w:val="nil"/>
              <w:between w:val="nil"/>
            </w:pBdr>
            <w:tabs>
              <w:tab w:val="center" w:pos="4680"/>
              <w:tab w:val="right" w:pos="9360"/>
            </w:tabs>
            <w:ind w:right="-116"/>
            <w:jc w:val="right"/>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9F6C11">
            <w:rPr>
              <w:rFonts w:ascii="Cambria" w:eastAsia="Cambria" w:hAnsi="Cambria" w:cs="Cambria"/>
              <w:noProof/>
              <w:color w:val="000000"/>
            </w:rPr>
            <w:t>3</w:t>
          </w:r>
          <w:r>
            <w:rPr>
              <w:rFonts w:ascii="Cambria" w:eastAsia="Cambria" w:hAnsi="Cambria" w:cs="Cambria"/>
              <w:color w:val="000000"/>
            </w:rPr>
            <w:fldChar w:fldCharType="end"/>
          </w:r>
        </w:p>
      </w:tc>
    </w:tr>
  </w:tbl>
  <w:p w14:paraId="59E04F6F" w14:textId="77777777" w:rsidR="00C72575" w:rsidRDefault="00C7257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B3855"/>
    <w:multiLevelType w:val="multilevel"/>
    <w:tmpl w:val="8C1ED96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19ED3D1D"/>
    <w:multiLevelType w:val="hybridMultilevel"/>
    <w:tmpl w:val="7AE4E6B8"/>
    <w:lvl w:ilvl="0" w:tplc="7408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8D5634"/>
    <w:multiLevelType w:val="hybridMultilevel"/>
    <w:tmpl w:val="F636134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8988930">
    <w:abstractNumId w:val="0"/>
  </w:num>
  <w:num w:numId="2" w16cid:durableId="597635378">
    <w:abstractNumId w:val="2"/>
  </w:num>
  <w:num w:numId="3" w16cid:durableId="1849454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us Hendra">
    <w15:presenceInfo w15:providerId="Windows Live" w15:userId="c90093bce29a74aa"/>
  </w15:person>
  <w15:person w15:author="Wilda Yunieswati">
    <w15:presenceInfo w15:providerId="Windows Live" w15:userId="7e56b929082002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2MTA0NrcwMjQ0NzVU0lEKTi0uzszPAykwrQUA4H7yqCwAAAA="/>
  </w:docVars>
  <w:rsids>
    <w:rsidRoot w:val="00C72575"/>
    <w:rsid w:val="00005A64"/>
    <w:rsid w:val="000669BD"/>
    <w:rsid w:val="000677BD"/>
    <w:rsid w:val="000747D2"/>
    <w:rsid w:val="00077540"/>
    <w:rsid w:val="00090E54"/>
    <w:rsid w:val="000C6DA1"/>
    <w:rsid w:val="00111941"/>
    <w:rsid w:val="00120AA0"/>
    <w:rsid w:val="00131BEC"/>
    <w:rsid w:val="00134371"/>
    <w:rsid w:val="0014111F"/>
    <w:rsid w:val="001452CF"/>
    <w:rsid w:val="001509CD"/>
    <w:rsid w:val="001857BD"/>
    <w:rsid w:val="00195FDF"/>
    <w:rsid w:val="00196BDC"/>
    <w:rsid w:val="00196DC5"/>
    <w:rsid w:val="00197C3F"/>
    <w:rsid w:val="001C265A"/>
    <w:rsid w:val="001C2FE5"/>
    <w:rsid w:val="001C36E3"/>
    <w:rsid w:val="00213308"/>
    <w:rsid w:val="00223C46"/>
    <w:rsid w:val="00247F57"/>
    <w:rsid w:val="00270923"/>
    <w:rsid w:val="002A402E"/>
    <w:rsid w:val="002D4613"/>
    <w:rsid w:val="002D463A"/>
    <w:rsid w:val="00311AE3"/>
    <w:rsid w:val="00316109"/>
    <w:rsid w:val="003165E6"/>
    <w:rsid w:val="00350BE1"/>
    <w:rsid w:val="00350FE3"/>
    <w:rsid w:val="003A6C16"/>
    <w:rsid w:val="003B5EDF"/>
    <w:rsid w:val="003C7EFB"/>
    <w:rsid w:val="003F57CC"/>
    <w:rsid w:val="003F5BB8"/>
    <w:rsid w:val="00412A43"/>
    <w:rsid w:val="00473A60"/>
    <w:rsid w:val="00474B64"/>
    <w:rsid w:val="004A5FFC"/>
    <w:rsid w:val="004B19A3"/>
    <w:rsid w:val="004B6BCA"/>
    <w:rsid w:val="00513EA1"/>
    <w:rsid w:val="0052342D"/>
    <w:rsid w:val="005259FA"/>
    <w:rsid w:val="00543DD6"/>
    <w:rsid w:val="005928FD"/>
    <w:rsid w:val="005A0D1F"/>
    <w:rsid w:val="005A5526"/>
    <w:rsid w:val="005B1DDA"/>
    <w:rsid w:val="005F16BD"/>
    <w:rsid w:val="00601BB6"/>
    <w:rsid w:val="006156F8"/>
    <w:rsid w:val="0062028A"/>
    <w:rsid w:val="0063512D"/>
    <w:rsid w:val="00646401"/>
    <w:rsid w:val="0066515B"/>
    <w:rsid w:val="006765CB"/>
    <w:rsid w:val="006A62D8"/>
    <w:rsid w:val="006C26E3"/>
    <w:rsid w:val="006E35A9"/>
    <w:rsid w:val="006F29FB"/>
    <w:rsid w:val="0070248B"/>
    <w:rsid w:val="00723B01"/>
    <w:rsid w:val="00730FE4"/>
    <w:rsid w:val="007346E4"/>
    <w:rsid w:val="00737012"/>
    <w:rsid w:val="00747D1D"/>
    <w:rsid w:val="00750208"/>
    <w:rsid w:val="007741CF"/>
    <w:rsid w:val="00812CA1"/>
    <w:rsid w:val="00813104"/>
    <w:rsid w:val="00824FF7"/>
    <w:rsid w:val="00863181"/>
    <w:rsid w:val="008640BB"/>
    <w:rsid w:val="008C4016"/>
    <w:rsid w:val="008C5D25"/>
    <w:rsid w:val="008C7F7E"/>
    <w:rsid w:val="008D2E65"/>
    <w:rsid w:val="008E377C"/>
    <w:rsid w:val="009015AF"/>
    <w:rsid w:val="009156D2"/>
    <w:rsid w:val="00922EA8"/>
    <w:rsid w:val="00943445"/>
    <w:rsid w:val="0094722B"/>
    <w:rsid w:val="009547AC"/>
    <w:rsid w:val="00966281"/>
    <w:rsid w:val="00966EFA"/>
    <w:rsid w:val="0098341A"/>
    <w:rsid w:val="00986B71"/>
    <w:rsid w:val="009966A5"/>
    <w:rsid w:val="009C7997"/>
    <w:rsid w:val="009E0D49"/>
    <w:rsid w:val="009F4744"/>
    <w:rsid w:val="009F6C11"/>
    <w:rsid w:val="00A171D5"/>
    <w:rsid w:val="00A35742"/>
    <w:rsid w:val="00A45DBD"/>
    <w:rsid w:val="00A46712"/>
    <w:rsid w:val="00A53AB3"/>
    <w:rsid w:val="00A90776"/>
    <w:rsid w:val="00A93B78"/>
    <w:rsid w:val="00AA7E5C"/>
    <w:rsid w:val="00AE2093"/>
    <w:rsid w:val="00AE6C57"/>
    <w:rsid w:val="00B01494"/>
    <w:rsid w:val="00B170C0"/>
    <w:rsid w:val="00B574FD"/>
    <w:rsid w:val="00B82785"/>
    <w:rsid w:val="00BC18A1"/>
    <w:rsid w:val="00BD1790"/>
    <w:rsid w:val="00BE0D55"/>
    <w:rsid w:val="00BE2220"/>
    <w:rsid w:val="00C05CE5"/>
    <w:rsid w:val="00C71AF0"/>
    <w:rsid w:val="00C72575"/>
    <w:rsid w:val="00C72971"/>
    <w:rsid w:val="00CF5B8A"/>
    <w:rsid w:val="00D4116A"/>
    <w:rsid w:val="00D527DA"/>
    <w:rsid w:val="00D741E3"/>
    <w:rsid w:val="00D824F8"/>
    <w:rsid w:val="00D95178"/>
    <w:rsid w:val="00D97A42"/>
    <w:rsid w:val="00DA13BB"/>
    <w:rsid w:val="00DA177B"/>
    <w:rsid w:val="00DB17AA"/>
    <w:rsid w:val="00DE2DB8"/>
    <w:rsid w:val="00DF3C03"/>
    <w:rsid w:val="00E00E42"/>
    <w:rsid w:val="00E469C6"/>
    <w:rsid w:val="00E5308D"/>
    <w:rsid w:val="00E654A3"/>
    <w:rsid w:val="00E70C4F"/>
    <w:rsid w:val="00E81ECD"/>
    <w:rsid w:val="00EB612A"/>
    <w:rsid w:val="00ED34E4"/>
    <w:rsid w:val="00EE63EB"/>
    <w:rsid w:val="00EF385B"/>
    <w:rsid w:val="00EF6D5B"/>
    <w:rsid w:val="00F03C4C"/>
    <w:rsid w:val="00F310D8"/>
    <w:rsid w:val="00F44607"/>
    <w:rsid w:val="00F5112C"/>
    <w:rsid w:val="00F90F73"/>
    <w:rsid w:val="00F929FD"/>
    <w:rsid w:val="00FA4AE5"/>
    <w:rsid w:val="00FB1D67"/>
    <w:rsid w:val="00FE7A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04EC9"/>
  <w15:docId w15:val="{7DF3B845-8768-4BF6-BBE7-7C12188E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D10"/>
  </w:style>
  <w:style w:type="paragraph" w:styleId="Heading1">
    <w:name w:val="heading 1"/>
    <w:basedOn w:val="Normal"/>
    <w:next w:val="Normal"/>
    <w:link w:val="Heading1Char"/>
    <w:uiPriority w:val="9"/>
    <w:qFormat/>
    <w:rsid w:val="00E15D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924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15D1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A7FC2"/>
    <w:pPr>
      <w:suppressAutoHyphens/>
      <w:spacing w:after="200" w:line="276" w:lineRule="auto"/>
      <w:ind w:left="720"/>
      <w:contextualSpacing/>
    </w:pPr>
    <w:rPr>
      <w:rFonts w:cs="Times New Roman"/>
      <w:lang w:eastAsia="zh-CN"/>
    </w:rPr>
  </w:style>
  <w:style w:type="character" w:styleId="Hyperlink">
    <w:name w:val="Hyperlink"/>
    <w:basedOn w:val="DefaultParagraphFont"/>
    <w:uiPriority w:val="99"/>
    <w:unhideWhenUsed/>
    <w:rsid w:val="003A7FC2"/>
    <w:rPr>
      <w:color w:val="0563C1" w:themeColor="hyperlink"/>
      <w:u w:val="single"/>
    </w:rPr>
  </w:style>
  <w:style w:type="paragraph" w:styleId="FootnoteText">
    <w:name w:val="footnote text"/>
    <w:basedOn w:val="Normal"/>
    <w:link w:val="FootnoteTextChar"/>
    <w:uiPriority w:val="99"/>
    <w:semiHidden/>
    <w:unhideWhenUsed/>
    <w:rsid w:val="003A7F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7FC2"/>
    <w:rPr>
      <w:sz w:val="20"/>
      <w:szCs w:val="20"/>
    </w:rPr>
  </w:style>
  <w:style w:type="character" w:styleId="FootnoteReference">
    <w:name w:val="footnote reference"/>
    <w:basedOn w:val="DefaultParagraphFont"/>
    <w:uiPriority w:val="99"/>
    <w:semiHidden/>
    <w:unhideWhenUsed/>
    <w:rsid w:val="003A7FC2"/>
    <w:rPr>
      <w:vertAlign w:val="superscript"/>
    </w:rPr>
  </w:style>
  <w:style w:type="character" w:styleId="UnresolvedMention">
    <w:name w:val="Unresolved Mention"/>
    <w:basedOn w:val="DefaultParagraphFont"/>
    <w:uiPriority w:val="99"/>
    <w:semiHidden/>
    <w:unhideWhenUsed/>
    <w:rsid w:val="00323914"/>
    <w:rPr>
      <w:color w:val="605E5C"/>
      <w:shd w:val="clear" w:color="auto" w:fill="E1DFDD"/>
    </w:rPr>
  </w:style>
  <w:style w:type="paragraph" w:styleId="Header">
    <w:name w:val="header"/>
    <w:basedOn w:val="Normal"/>
    <w:link w:val="HeaderChar"/>
    <w:uiPriority w:val="99"/>
    <w:unhideWhenUsed/>
    <w:rsid w:val="00E07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900"/>
  </w:style>
  <w:style w:type="paragraph" w:styleId="Footer">
    <w:name w:val="footer"/>
    <w:basedOn w:val="Normal"/>
    <w:link w:val="FooterChar"/>
    <w:uiPriority w:val="99"/>
    <w:unhideWhenUsed/>
    <w:rsid w:val="00E07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900"/>
  </w:style>
  <w:style w:type="table" w:styleId="TableGrid">
    <w:name w:val="Table Grid"/>
    <w:basedOn w:val="TableNormal"/>
    <w:uiPriority w:val="39"/>
    <w:rsid w:val="00E07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9246A"/>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592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46A"/>
    <w:rPr>
      <w:rFonts w:ascii="Segoe UI" w:hAnsi="Segoe UI" w:cs="Segoe UI"/>
      <w:sz w:val="18"/>
      <w:szCs w:val="18"/>
    </w:rPr>
  </w:style>
  <w:style w:type="paragraph" w:customStyle="1" w:styleId="Body">
    <w:name w:val="Body"/>
    <w:basedOn w:val="BodyTextIndent"/>
    <w:rsid w:val="0059246A"/>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59246A"/>
    <w:pPr>
      <w:spacing w:after="120"/>
      <w:ind w:left="283"/>
    </w:pPr>
  </w:style>
  <w:style w:type="character" w:customStyle="1" w:styleId="BodyTextIndentChar">
    <w:name w:val="Body Text Indent Char"/>
    <w:basedOn w:val="DefaultParagraphFont"/>
    <w:link w:val="BodyTextIndent"/>
    <w:uiPriority w:val="99"/>
    <w:semiHidden/>
    <w:rsid w:val="0059246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Default">
    <w:name w:val="Default"/>
    <w:rsid w:val="005A0D1F"/>
    <w:pPr>
      <w:autoSpaceDE w:val="0"/>
      <w:autoSpaceDN w:val="0"/>
      <w:adjustRightInd w:val="0"/>
      <w:spacing w:after="0" w:line="240" w:lineRule="auto"/>
    </w:pPr>
    <w:rPr>
      <w:rFonts w:ascii="Metropolis" w:eastAsiaTheme="minorHAnsi" w:hAnsi="Metropolis" w:cs="Metropolis"/>
      <w:color w:val="000000"/>
      <w:sz w:val="24"/>
      <w:szCs w:val="24"/>
      <w:lang w:eastAsia="en-US"/>
    </w:rPr>
  </w:style>
  <w:style w:type="paragraph" w:styleId="HTMLPreformatted">
    <w:name w:val="HTML Preformatted"/>
    <w:basedOn w:val="Normal"/>
    <w:link w:val="HTMLPreformattedChar"/>
    <w:uiPriority w:val="99"/>
    <w:semiHidden/>
    <w:unhideWhenUsed/>
    <w:rsid w:val="00C72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semiHidden/>
    <w:rsid w:val="00C72971"/>
    <w:rPr>
      <w:rFonts w:ascii="Courier New" w:eastAsia="Times New Roman" w:hAnsi="Courier New" w:cs="Courier New"/>
      <w:sz w:val="20"/>
      <w:szCs w:val="20"/>
      <w:lang w:val="en-ID"/>
    </w:rPr>
  </w:style>
  <w:style w:type="character" w:customStyle="1" w:styleId="y2iqfc">
    <w:name w:val="y2iqfc"/>
    <w:basedOn w:val="DefaultParagraphFont"/>
    <w:rsid w:val="00C72971"/>
  </w:style>
  <w:style w:type="character" w:customStyle="1" w:styleId="ref-journal">
    <w:name w:val="ref-journal"/>
    <w:basedOn w:val="DefaultParagraphFont"/>
    <w:rsid w:val="009547AC"/>
  </w:style>
  <w:style w:type="character" w:customStyle="1" w:styleId="ref-vol">
    <w:name w:val="ref-vol"/>
    <w:basedOn w:val="DefaultParagraphFont"/>
    <w:rsid w:val="009547AC"/>
  </w:style>
  <w:style w:type="paragraph" w:customStyle="1" w:styleId="Pa7">
    <w:name w:val="Pa7"/>
    <w:basedOn w:val="Normal"/>
    <w:next w:val="Normal"/>
    <w:uiPriority w:val="99"/>
    <w:rsid w:val="00196BDC"/>
    <w:pPr>
      <w:autoSpaceDE w:val="0"/>
      <w:autoSpaceDN w:val="0"/>
      <w:adjustRightInd w:val="0"/>
      <w:spacing w:after="0" w:line="221" w:lineRule="atLeast"/>
    </w:pPr>
    <w:rPr>
      <w:rFonts w:ascii="Montserrat SemiBold" w:eastAsiaTheme="minorHAnsi" w:hAnsi="Montserrat SemiBold" w:cstheme="minorBidi"/>
      <w:sz w:val="24"/>
      <w:szCs w:val="24"/>
      <w:lang w:eastAsia="en-US"/>
    </w:rPr>
  </w:style>
  <w:style w:type="character" w:styleId="CommentReference">
    <w:name w:val="annotation reference"/>
    <w:basedOn w:val="DefaultParagraphFont"/>
    <w:uiPriority w:val="99"/>
    <w:semiHidden/>
    <w:unhideWhenUsed/>
    <w:rsid w:val="005259FA"/>
    <w:rPr>
      <w:sz w:val="16"/>
      <w:szCs w:val="16"/>
    </w:rPr>
  </w:style>
  <w:style w:type="paragraph" w:styleId="CommentText">
    <w:name w:val="annotation text"/>
    <w:basedOn w:val="Normal"/>
    <w:link w:val="CommentTextChar"/>
    <w:uiPriority w:val="99"/>
    <w:semiHidden/>
    <w:unhideWhenUsed/>
    <w:rsid w:val="005259FA"/>
    <w:pPr>
      <w:spacing w:line="240" w:lineRule="auto"/>
    </w:pPr>
    <w:rPr>
      <w:sz w:val="20"/>
      <w:szCs w:val="20"/>
    </w:rPr>
  </w:style>
  <w:style w:type="character" w:customStyle="1" w:styleId="CommentTextChar">
    <w:name w:val="Comment Text Char"/>
    <w:basedOn w:val="DefaultParagraphFont"/>
    <w:link w:val="CommentText"/>
    <w:uiPriority w:val="99"/>
    <w:semiHidden/>
    <w:rsid w:val="005259FA"/>
    <w:rPr>
      <w:sz w:val="20"/>
      <w:szCs w:val="20"/>
    </w:rPr>
  </w:style>
  <w:style w:type="paragraph" w:styleId="CommentSubject">
    <w:name w:val="annotation subject"/>
    <w:basedOn w:val="CommentText"/>
    <w:next w:val="CommentText"/>
    <w:link w:val="CommentSubjectChar"/>
    <w:uiPriority w:val="99"/>
    <w:semiHidden/>
    <w:unhideWhenUsed/>
    <w:rsid w:val="005259FA"/>
    <w:rPr>
      <w:b/>
      <w:bCs/>
    </w:rPr>
  </w:style>
  <w:style w:type="character" w:customStyle="1" w:styleId="CommentSubjectChar">
    <w:name w:val="Comment Subject Char"/>
    <w:basedOn w:val="CommentTextChar"/>
    <w:link w:val="CommentSubject"/>
    <w:uiPriority w:val="99"/>
    <w:semiHidden/>
    <w:rsid w:val="005259FA"/>
    <w:rPr>
      <w:b/>
      <w:bCs/>
      <w:sz w:val="20"/>
      <w:szCs w:val="20"/>
    </w:rPr>
  </w:style>
  <w:style w:type="paragraph" w:styleId="NormalWeb">
    <w:name w:val="Normal (Web)"/>
    <w:basedOn w:val="Normal"/>
    <w:uiPriority w:val="99"/>
    <w:unhideWhenUsed/>
    <w:rsid w:val="00BE2220"/>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02990">
      <w:bodyDiv w:val="1"/>
      <w:marLeft w:val="0"/>
      <w:marRight w:val="0"/>
      <w:marTop w:val="0"/>
      <w:marBottom w:val="0"/>
      <w:divBdr>
        <w:top w:val="none" w:sz="0" w:space="0" w:color="auto"/>
        <w:left w:val="none" w:sz="0" w:space="0" w:color="auto"/>
        <w:bottom w:val="none" w:sz="0" w:space="0" w:color="auto"/>
        <w:right w:val="none" w:sz="0" w:space="0" w:color="auto"/>
      </w:divBdr>
    </w:div>
    <w:div w:id="1609845839">
      <w:bodyDiv w:val="1"/>
      <w:marLeft w:val="0"/>
      <w:marRight w:val="0"/>
      <w:marTop w:val="0"/>
      <w:marBottom w:val="0"/>
      <w:divBdr>
        <w:top w:val="none" w:sz="0" w:space="0" w:color="auto"/>
        <w:left w:val="none" w:sz="0" w:space="0" w:color="auto"/>
        <w:bottom w:val="none" w:sz="0" w:space="0" w:color="auto"/>
        <w:right w:val="none" w:sz="0" w:space="0" w:color="auto"/>
      </w:divBdr>
    </w:div>
    <w:div w:id="1614165164">
      <w:bodyDiv w:val="1"/>
      <w:marLeft w:val="0"/>
      <w:marRight w:val="0"/>
      <w:marTop w:val="0"/>
      <w:marBottom w:val="0"/>
      <w:divBdr>
        <w:top w:val="none" w:sz="0" w:space="0" w:color="auto"/>
        <w:left w:val="none" w:sz="0" w:space="0" w:color="auto"/>
        <w:bottom w:val="none" w:sz="0" w:space="0" w:color="auto"/>
        <w:right w:val="none" w:sz="0" w:space="0" w:color="auto"/>
      </w:divBdr>
    </w:div>
    <w:div w:id="1663660132">
      <w:bodyDiv w:val="1"/>
      <w:marLeft w:val="0"/>
      <w:marRight w:val="0"/>
      <w:marTop w:val="0"/>
      <w:marBottom w:val="0"/>
      <w:divBdr>
        <w:top w:val="none" w:sz="0" w:space="0" w:color="auto"/>
        <w:left w:val="none" w:sz="0" w:space="0" w:color="auto"/>
        <w:bottom w:val="none" w:sz="0" w:space="0" w:color="auto"/>
        <w:right w:val="none" w:sz="0" w:space="0" w:color="auto"/>
      </w:divBdr>
    </w:div>
    <w:div w:id="1697192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ejournal.poltekkesaceh.ac.id/index.php/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FnwWw4FhCbOZEbcjp3xxciNQVbA==">AMUW2mUScCcC14dKISVmbhorJOGD7xY45HbX3664YWAg6SFfJZSURAGe/iEmFOlhfWscyEaMwd4Q9dtRGlXEtVhByP0QJgLhBh9/3bNMWmYzv1KT9dxCMJATpgeKrgVOl0XI6ku33ZeF</go:docsCustomData>
</go:gDocsCustomXmlDataStorage>
</file>

<file path=customXml/itemProps1.xml><?xml version="1.0" encoding="utf-8"?>
<ds:datastoreItem xmlns:ds="http://schemas.openxmlformats.org/officeDocument/2006/customXml" ds:itemID="{472040F8-D0BF-43D1-B4CC-C6B7FDC739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12684</Words>
  <Characters>72301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 Hendra</dc:creator>
  <cp:lastModifiedBy>user</cp:lastModifiedBy>
  <cp:revision>3</cp:revision>
  <dcterms:created xsi:type="dcterms:W3CDTF">2022-04-25T13:57:00Z</dcterms:created>
  <dcterms:modified xsi:type="dcterms:W3CDTF">2022-04-25T14:55:00Z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0e96d610-4bf6-3607-a683-a004b129d0d6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